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000" w:firstRow="0" w:lastRow="0" w:firstColumn="0" w:lastColumn="0" w:noHBand="0" w:noVBand="0"/>
      </w:tblPr>
      <w:tblGrid>
        <w:gridCol w:w="2203"/>
        <w:gridCol w:w="1235"/>
        <w:gridCol w:w="7585"/>
      </w:tblGrid>
      <w:tr w:rsidR="009E2A0F" w:rsidRPr="00084FDC">
        <w:trPr>
          <w:trHeight w:val="1761"/>
        </w:trPr>
        <w:tc>
          <w:tcPr>
            <w:tcW w:w="2203" w:type="dxa"/>
          </w:tcPr>
          <w:p w:rsidR="009E2A0F" w:rsidRPr="00084FDC" w:rsidRDefault="00A23897" w:rsidP="00041DB3">
            <w:pPr>
              <w:jc w:val="center"/>
              <w:rPr>
                <w:rFonts w:ascii="Candara" w:hAnsi="Candara"/>
              </w:rPr>
            </w:pPr>
            <w:r w:rsidRPr="00084FDC">
              <w:rPr>
                <w:rFonts w:ascii="Candara" w:hAnsi="Candara"/>
              </w:rPr>
              <w:br w:type="page"/>
            </w:r>
            <w:r w:rsidR="00D35C68" w:rsidRPr="00084FDC">
              <w:rPr>
                <w:rFonts w:ascii="Candara" w:hAnsi="Candara"/>
                <w:noProof/>
              </w:rPr>
              <w:drawing>
                <wp:inline distT="0" distB="0" distL="0" distR="0" wp14:anchorId="6CFD878B" wp14:editId="5545C2ED">
                  <wp:extent cx="1212215" cy="1374775"/>
                  <wp:effectExtent l="0" t="0" r="6985" b="0"/>
                  <wp:docPr id="28" name="Picture 28" descr="C:\Users\ccady\Pictures\DWQ Logos\DEQ_WaterQuality_Final_Primary Vertical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ccady\Pictures\DWQ Logos\DEQ_WaterQuality_Final_Primary VerticalCropp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2215" cy="1374775"/>
                          </a:xfrm>
                          <a:prstGeom prst="rect">
                            <a:avLst/>
                          </a:prstGeom>
                          <a:noFill/>
                          <a:ln>
                            <a:noFill/>
                          </a:ln>
                        </pic:spPr>
                      </pic:pic>
                    </a:graphicData>
                  </a:graphic>
                </wp:inline>
              </w:drawing>
            </w:r>
          </w:p>
        </w:tc>
        <w:tc>
          <w:tcPr>
            <w:tcW w:w="8820" w:type="dxa"/>
            <w:gridSpan w:val="2"/>
            <w:tcMar>
              <w:top w:w="86" w:type="dxa"/>
              <w:left w:w="115" w:type="dxa"/>
              <w:bottom w:w="86" w:type="dxa"/>
              <w:right w:w="115" w:type="dxa"/>
            </w:tcMar>
          </w:tcPr>
          <w:p w:rsidR="009E2A0F" w:rsidRPr="00084FDC" w:rsidRDefault="00A23897" w:rsidP="00084FDC">
            <w:pPr>
              <w:pStyle w:val="Heading2"/>
              <w:spacing w:before="120"/>
              <w:rPr>
                <w:rFonts w:ascii="Candara" w:hAnsi="Candara"/>
                <w:sz w:val="36"/>
              </w:rPr>
            </w:pPr>
            <w:r w:rsidRPr="00084FDC">
              <w:rPr>
                <w:rFonts w:ascii="Candara" w:hAnsi="Candara"/>
                <w:sz w:val="36"/>
              </w:rPr>
              <w:t>State of Utah</w:t>
            </w:r>
          </w:p>
          <w:p w:rsidR="009E2A0F" w:rsidRPr="00084FDC" w:rsidRDefault="00A23897">
            <w:pPr>
              <w:jc w:val="center"/>
              <w:rPr>
                <w:rFonts w:ascii="Candara" w:hAnsi="Candara"/>
                <w:sz w:val="28"/>
              </w:rPr>
            </w:pPr>
            <w:r w:rsidRPr="00084FDC">
              <w:rPr>
                <w:rFonts w:ascii="Candara" w:hAnsi="Candara"/>
                <w:sz w:val="28"/>
              </w:rPr>
              <w:t>Department of Environmental Quality</w:t>
            </w:r>
          </w:p>
          <w:p w:rsidR="009E2A0F" w:rsidRPr="00084FDC" w:rsidRDefault="00A23897">
            <w:pPr>
              <w:jc w:val="center"/>
              <w:rPr>
                <w:rFonts w:ascii="Candara" w:hAnsi="Candara"/>
              </w:rPr>
            </w:pPr>
            <w:r w:rsidRPr="00084FDC">
              <w:rPr>
                <w:rFonts w:ascii="Candara" w:hAnsi="Candara"/>
                <w:sz w:val="28"/>
              </w:rPr>
              <w:t>Division of Water Quality</w:t>
            </w:r>
          </w:p>
          <w:p w:rsidR="009E2A0F" w:rsidRPr="00084FDC" w:rsidRDefault="00041DB3">
            <w:pPr>
              <w:spacing w:before="120"/>
              <w:jc w:val="center"/>
              <w:rPr>
                <w:rFonts w:ascii="Candara" w:hAnsi="Candara"/>
              </w:rPr>
            </w:pPr>
            <w:r w:rsidRPr="00084FDC">
              <w:rPr>
                <w:rFonts w:ascii="Candara" w:hAnsi="Candara"/>
              </w:rPr>
              <w:t>195</w:t>
            </w:r>
            <w:r w:rsidR="00A23897" w:rsidRPr="00084FDC">
              <w:rPr>
                <w:rFonts w:ascii="Candara" w:hAnsi="Candara"/>
              </w:rPr>
              <w:t xml:space="preserve"> North 1</w:t>
            </w:r>
            <w:r w:rsidRPr="00084FDC">
              <w:rPr>
                <w:rFonts w:ascii="Candara" w:hAnsi="Candara"/>
              </w:rPr>
              <w:t>950</w:t>
            </w:r>
            <w:r w:rsidR="00A23897" w:rsidRPr="00084FDC">
              <w:rPr>
                <w:rFonts w:ascii="Candara" w:hAnsi="Candara"/>
              </w:rPr>
              <w:t xml:space="preserve"> West</w:t>
            </w:r>
          </w:p>
          <w:p w:rsidR="009E2A0F" w:rsidRPr="00084FDC" w:rsidRDefault="00A23897">
            <w:pPr>
              <w:jc w:val="center"/>
              <w:rPr>
                <w:rFonts w:ascii="Candara" w:hAnsi="Candara"/>
              </w:rPr>
            </w:pPr>
            <w:r w:rsidRPr="00084FDC">
              <w:rPr>
                <w:rFonts w:ascii="Candara" w:hAnsi="Candara"/>
              </w:rPr>
              <w:t>S</w:t>
            </w:r>
            <w:r w:rsidR="00041DB3" w:rsidRPr="00084FDC">
              <w:rPr>
                <w:rFonts w:ascii="Candara" w:hAnsi="Candara"/>
              </w:rPr>
              <w:t>alt Lake City, Utah   84116</w:t>
            </w:r>
          </w:p>
        </w:tc>
      </w:tr>
      <w:tr w:rsidR="009E2A0F" w:rsidRPr="00084FDC">
        <w:trPr>
          <w:cantSplit/>
        </w:trPr>
        <w:tc>
          <w:tcPr>
            <w:tcW w:w="11023" w:type="dxa"/>
            <w:gridSpan w:val="3"/>
            <w:tcMar>
              <w:top w:w="86" w:type="dxa"/>
              <w:left w:w="115" w:type="dxa"/>
              <w:bottom w:w="86" w:type="dxa"/>
              <w:right w:w="115" w:type="dxa"/>
            </w:tcMar>
          </w:tcPr>
          <w:p w:rsidR="00084FDC" w:rsidRPr="00084FDC" w:rsidRDefault="00084FDC" w:rsidP="00084FDC">
            <w:pPr>
              <w:jc w:val="center"/>
              <w:rPr>
                <w:rFonts w:ascii="Candara" w:hAnsi="Candara"/>
                <w:b/>
                <w:bCs/>
                <w:sz w:val="32"/>
              </w:rPr>
            </w:pPr>
            <w:r w:rsidRPr="00084FDC">
              <w:rPr>
                <w:rFonts w:ascii="Candara" w:hAnsi="Candara"/>
                <w:b/>
                <w:bCs/>
                <w:sz w:val="32"/>
              </w:rPr>
              <w:t>PERMIT ACTIONS FOR EXISTING</w:t>
            </w:r>
          </w:p>
          <w:p w:rsidR="009E2A0F" w:rsidRPr="00084FDC" w:rsidRDefault="00084FDC" w:rsidP="00084FDC">
            <w:pPr>
              <w:jc w:val="center"/>
              <w:rPr>
                <w:rFonts w:ascii="Candara" w:hAnsi="Candara"/>
                <w:b/>
                <w:bCs/>
                <w:sz w:val="32"/>
              </w:rPr>
            </w:pPr>
            <w:r w:rsidRPr="00084FDC">
              <w:rPr>
                <w:rFonts w:ascii="Candara" w:hAnsi="Candara"/>
                <w:b/>
                <w:bCs/>
                <w:sz w:val="32"/>
              </w:rPr>
              <w:t>UNDERGROUND INJECTION CONTROL (UIC) PERMITS</w:t>
            </w:r>
          </w:p>
        </w:tc>
      </w:tr>
      <w:tr w:rsidR="00131431" w:rsidRPr="00084FDC" w:rsidTr="00717C61">
        <w:tc>
          <w:tcPr>
            <w:tcW w:w="11023" w:type="dxa"/>
            <w:gridSpan w:val="3"/>
            <w:tcMar>
              <w:top w:w="72" w:type="dxa"/>
              <w:left w:w="115" w:type="dxa"/>
              <w:bottom w:w="72" w:type="dxa"/>
              <w:right w:w="115" w:type="dxa"/>
            </w:tcMar>
          </w:tcPr>
          <w:p w:rsidR="00131431" w:rsidRDefault="00131431">
            <w:pPr>
              <w:jc w:val="both"/>
              <w:rPr>
                <w:rFonts w:ascii="Candara" w:hAnsi="Candara"/>
              </w:rPr>
            </w:pPr>
            <w:r>
              <w:rPr>
                <w:rFonts w:ascii="Candara" w:hAnsi="Candara"/>
              </w:rPr>
              <w:t>Date:</w:t>
            </w:r>
          </w:p>
        </w:tc>
      </w:tr>
      <w:tr w:rsidR="00EA41D3" w:rsidRPr="00084FDC" w:rsidTr="00717C61">
        <w:tc>
          <w:tcPr>
            <w:tcW w:w="11023" w:type="dxa"/>
            <w:gridSpan w:val="3"/>
            <w:tcMar>
              <w:top w:w="72" w:type="dxa"/>
              <w:left w:w="115" w:type="dxa"/>
              <w:bottom w:w="72" w:type="dxa"/>
              <w:right w:w="115" w:type="dxa"/>
            </w:tcMar>
          </w:tcPr>
          <w:p w:rsidR="00EA41D3" w:rsidRPr="00084FDC" w:rsidRDefault="00D10ED2">
            <w:pPr>
              <w:jc w:val="both"/>
              <w:rPr>
                <w:rFonts w:ascii="Candara" w:hAnsi="Candara"/>
              </w:rPr>
            </w:pPr>
            <w:r>
              <w:rPr>
                <w:rFonts w:ascii="Candara" w:hAnsi="Candara"/>
              </w:rPr>
              <w:t>Person initiating permit action:</w:t>
            </w:r>
          </w:p>
        </w:tc>
      </w:tr>
      <w:tr w:rsidR="00EA41D3" w:rsidRPr="00084FDC" w:rsidTr="00856358">
        <w:tc>
          <w:tcPr>
            <w:tcW w:w="11023" w:type="dxa"/>
            <w:gridSpan w:val="3"/>
            <w:tcMar>
              <w:top w:w="72" w:type="dxa"/>
              <w:left w:w="115" w:type="dxa"/>
              <w:bottom w:w="72" w:type="dxa"/>
              <w:right w:w="115" w:type="dxa"/>
            </w:tcMar>
          </w:tcPr>
          <w:p w:rsidR="00EA41D3" w:rsidRPr="00084FDC" w:rsidRDefault="00EA41D3">
            <w:pPr>
              <w:jc w:val="both"/>
              <w:rPr>
                <w:rFonts w:ascii="Candara" w:hAnsi="Candara"/>
              </w:rPr>
            </w:pPr>
            <w:r>
              <w:rPr>
                <w:rFonts w:ascii="Candara" w:hAnsi="Candara"/>
              </w:rPr>
              <w:t>Select from the following permit action options:</w:t>
            </w:r>
          </w:p>
        </w:tc>
      </w:tr>
      <w:tr w:rsidR="009E2A0F" w:rsidRPr="00084FDC" w:rsidTr="00D40BF5">
        <w:trPr>
          <w:trHeight w:val="1152"/>
        </w:trPr>
        <w:tc>
          <w:tcPr>
            <w:tcW w:w="3438" w:type="dxa"/>
            <w:gridSpan w:val="2"/>
            <w:tcBorders>
              <w:bottom w:val="single" w:sz="12" w:space="0" w:color="999999"/>
            </w:tcBorders>
            <w:tcMar>
              <w:top w:w="72" w:type="dxa"/>
              <w:left w:w="115" w:type="dxa"/>
              <w:bottom w:w="72" w:type="dxa"/>
              <w:right w:w="115" w:type="dxa"/>
            </w:tcMar>
          </w:tcPr>
          <w:p w:rsidR="009E2A0F" w:rsidRPr="00EA41D3" w:rsidRDefault="00EA41D3" w:rsidP="00193AA1">
            <w:pPr>
              <w:jc w:val="both"/>
              <w:rPr>
                <w:rFonts w:ascii="Candara" w:hAnsi="Candara"/>
              </w:rPr>
            </w:pPr>
            <w:r w:rsidRPr="00EA41D3">
              <w:rPr>
                <w:rFonts w:ascii="Candara" w:hAnsi="Candara"/>
                <w:sz w:val="36"/>
              </w:rPr>
              <w:sym w:font="Wingdings" w:char="F072"/>
            </w:r>
            <w:r w:rsidR="00193AA1">
              <w:rPr>
                <w:rFonts w:ascii="Candara" w:hAnsi="Candara"/>
              </w:rPr>
              <w:t xml:space="preserve">   Minor Modification</w:t>
            </w:r>
          </w:p>
        </w:tc>
        <w:tc>
          <w:tcPr>
            <w:tcW w:w="7585" w:type="dxa"/>
            <w:tcBorders>
              <w:bottom w:val="single" w:sz="12" w:space="0" w:color="999999"/>
            </w:tcBorders>
            <w:tcMar>
              <w:top w:w="72" w:type="dxa"/>
              <w:left w:w="115" w:type="dxa"/>
              <w:bottom w:w="72" w:type="dxa"/>
              <w:right w:w="115" w:type="dxa"/>
            </w:tcMar>
          </w:tcPr>
          <w:p w:rsidR="00A947C0" w:rsidRDefault="00A947C0" w:rsidP="00A947C0">
            <w:pPr>
              <w:rPr>
                <w:rFonts w:ascii="Candara" w:hAnsi="Candara"/>
              </w:rPr>
            </w:pPr>
            <w:r>
              <w:rPr>
                <w:rFonts w:ascii="Candara" w:hAnsi="Candara"/>
              </w:rPr>
              <w:t>See Section ‘c’ of Attached Narrative; :</w:t>
            </w:r>
          </w:p>
          <w:p w:rsidR="009E2A0F" w:rsidRDefault="00D10ED2" w:rsidP="00A947C0">
            <w:pPr>
              <w:rPr>
                <w:rFonts w:ascii="Candara" w:hAnsi="Candara"/>
              </w:rPr>
            </w:pPr>
            <w:r>
              <w:rPr>
                <w:rFonts w:ascii="Candara" w:hAnsi="Candara"/>
              </w:rPr>
              <w:t>Enter</w:t>
            </w:r>
            <w:r w:rsidR="00A947C0">
              <w:rPr>
                <w:rFonts w:ascii="Candara" w:hAnsi="Candara"/>
              </w:rPr>
              <w:t xml:space="preserve"> reason for minor modification:</w:t>
            </w:r>
          </w:p>
          <w:p w:rsidR="00A947C0" w:rsidRDefault="00A947C0" w:rsidP="00A947C0">
            <w:pPr>
              <w:rPr>
                <w:rFonts w:ascii="Candara" w:hAnsi="Candara"/>
              </w:rPr>
            </w:pPr>
          </w:p>
          <w:p w:rsidR="00A947C0" w:rsidRPr="00084FDC" w:rsidRDefault="00A947C0">
            <w:pPr>
              <w:jc w:val="both"/>
              <w:rPr>
                <w:rFonts w:ascii="Candara" w:hAnsi="Candara"/>
              </w:rPr>
            </w:pPr>
          </w:p>
        </w:tc>
      </w:tr>
      <w:tr w:rsidR="00EA41D3" w:rsidRPr="00084FDC" w:rsidTr="00D40BF5">
        <w:trPr>
          <w:trHeight w:val="1152"/>
        </w:trPr>
        <w:tc>
          <w:tcPr>
            <w:tcW w:w="3438" w:type="dxa"/>
            <w:gridSpan w:val="2"/>
            <w:tcMar>
              <w:top w:w="72" w:type="dxa"/>
              <w:left w:w="115" w:type="dxa"/>
              <w:bottom w:w="72" w:type="dxa"/>
              <w:right w:w="115" w:type="dxa"/>
            </w:tcMar>
          </w:tcPr>
          <w:p w:rsidR="00EA41D3" w:rsidRPr="00EA41D3" w:rsidRDefault="00EA41D3" w:rsidP="00193AA1">
            <w:pPr>
              <w:jc w:val="both"/>
              <w:rPr>
                <w:rFonts w:ascii="Candara" w:hAnsi="Candara"/>
              </w:rPr>
            </w:pPr>
            <w:r w:rsidRPr="00EA41D3">
              <w:rPr>
                <w:rFonts w:ascii="Candara" w:hAnsi="Candara"/>
                <w:sz w:val="36"/>
              </w:rPr>
              <w:sym w:font="Wingdings" w:char="F072"/>
            </w:r>
            <w:r w:rsidR="00193AA1">
              <w:rPr>
                <w:rFonts w:ascii="Candara" w:hAnsi="Candara"/>
              </w:rPr>
              <w:t xml:space="preserve">   </w:t>
            </w:r>
            <w:r>
              <w:rPr>
                <w:rFonts w:ascii="Candara" w:hAnsi="Candara"/>
              </w:rPr>
              <w:t>M</w:t>
            </w:r>
            <w:r w:rsidR="009F0A75">
              <w:rPr>
                <w:rFonts w:ascii="Candara" w:hAnsi="Candara"/>
              </w:rPr>
              <w:t>ajor</w:t>
            </w:r>
            <w:r w:rsidR="00193AA1">
              <w:rPr>
                <w:rFonts w:ascii="Candara" w:hAnsi="Candara"/>
              </w:rPr>
              <w:t xml:space="preserve"> Modification</w:t>
            </w:r>
          </w:p>
        </w:tc>
        <w:tc>
          <w:tcPr>
            <w:tcW w:w="7585" w:type="dxa"/>
            <w:tcMar>
              <w:top w:w="72" w:type="dxa"/>
              <w:left w:w="115" w:type="dxa"/>
              <w:bottom w:w="72" w:type="dxa"/>
              <w:right w:w="115" w:type="dxa"/>
            </w:tcMar>
          </w:tcPr>
          <w:p w:rsidR="00EA41D3" w:rsidRDefault="00A947C0" w:rsidP="002908AD">
            <w:pPr>
              <w:jc w:val="both"/>
              <w:rPr>
                <w:rFonts w:ascii="Candara" w:hAnsi="Candara"/>
              </w:rPr>
            </w:pPr>
            <w:r>
              <w:rPr>
                <w:rFonts w:ascii="Candara" w:hAnsi="Candara"/>
              </w:rPr>
              <w:t>See Section ‘a’ of Attached Narrative:</w:t>
            </w:r>
          </w:p>
          <w:p w:rsidR="00A947C0" w:rsidRDefault="00D10ED2" w:rsidP="002908AD">
            <w:pPr>
              <w:jc w:val="both"/>
              <w:rPr>
                <w:rFonts w:ascii="Candara" w:hAnsi="Candara"/>
              </w:rPr>
            </w:pPr>
            <w:r>
              <w:rPr>
                <w:rFonts w:ascii="Candara" w:hAnsi="Candara"/>
              </w:rPr>
              <w:t>Enter</w:t>
            </w:r>
            <w:r w:rsidR="00A947C0">
              <w:rPr>
                <w:rFonts w:ascii="Candara" w:hAnsi="Candara"/>
              </w:rPr>
              <w:t xml:space="preserve"> cause for modification:</w:t>
            </w:r>
          </w:p>
          <w:p w:rsidR="00A947C0" w:rsidRDefault="00A947C0" w:rsidP="002908AD">
            <w:pPr>
              <w:jc w:val="both"/>
              <w:rPr>
                <w:rFonts w:ascii="Candara" w:hAnsi="Candara"/>
              </w:rPr>
            </w:pPr>
          </w:p>
          <w:p w:rsidR="00A947C0" w:rsidRPr="00084FDC" w:rsidRDefault="00A947C0" w:rsidP="002908AD">
            <w:pPr>
              <w:jc w:val="both"/>
              <w:rPr>
                <w:rFonts w:ascii="Candara" w:hAnsi="Candara"/>
              </w:rPr>
            </w:pPr>
          </w:p>
        </w:tc>
      </w:tr>
      <w:tr w:rsidR="009F0A75" w:rsidRPr="00084FDC" w:rsidTr="00D40BF5">
        <w:trPr>
          <w:trHeight w:val="1152"/>
        </w:trPr>
        <w:tc>
          <w:tcPr>
            <w:tcW w:w="3438" w:type="dxa"/>
            <w:gridSpan w:val="2"/>
            <w:tcMar>
              <w:top w:w="72" w:type="dxa"/>
              <w:left w:w="115" w:type="dxa"/>
              <w:bottom w:w="72" w:type="dxa"/>
              <w:right w:w="115" w:type="dxa"/>
            </w:tcMar>
          </w:tcPr>
          <w:p w:rsidR="009F0A75" w:rsidRPr="00EA41D3" w:rsidRDefault="009F0A75" w:rsidP="009F0A75">
            <w:pPr>
              <w:jc w:val="both"/>
              <w:rPr>
                <w:rFonts w:ascii="Candara" w:hAnsi="Candara"/>
              </w:rPr>
            </w:pPr>
            <w:r w:rsidRPr="00EA41D3">
              <w:rPr>
                <w:rFonts w:ascii="Candara" w:hAnsi="Candara"/>
                <w:sz w:val="36"/>
              </w:rPr>
              <w:sym w:font="Wingdings" w:char="F072"/>
            </w:r>
            <w:r w:rsidR="00193AA1">
              <w:rPr>
                <w:rFonts w:ascii="Candara" w:hAnsi="Candara"/>
              </w:rPr>
              <w:t xml:space="preserve">   </w:t>
            </w:r>
            <w:r w:rsidR="00193AA1">
              <w:rPr>
                <w:rFonts w:ascii="Candara" w:hAnsi="Candara"/>
              </w:rPr>
              <w:t>Revoke and Re-Issue</w:t>
            </w:r>
          </w:p>
        </w:tc>
        <w:tc>
          <w:tcPr>
            <w:tcW w:w="7585" w:type="dxa"/>
            <w:tcMar>
              <w:top w:w="72" w:type="dxa"/>
              <w:left w:w="115" w:type="dxa"/>
              <w:bottom w:w="72" w:type="dxa"/>
              <w:right w:w="115" w:type="dxa"/>
            </w:tcMar>
          </w:tcPr>
          <w:p w:rsidR="00A947C0" w:rsidRDefault="00A947C0" w:rsidP="00A947C0">
            <w:pPr>
              <w:jc w:val="both"/>
              <w:rPr>
                <w:rFonts w:ascii="Candara" w:hAnsi="Candara"/>
              </w:rPr>
            </w:pPr>
            <w:r>
              <w:rPr>
                <w:rFonts w:ascii="Candara" w:hAnsi="Candara"/>
              </w:rPr>
              <w:t>See Section ‘a’ of Attached Narrative:</w:t>
            </w:r>
          </w:p>
          <w:p w:rsidR="00A947C0" w:rsidRDefault="00D10ED2" w:rsidP="00A947C0">
            <w:pPr>
              <w:jc w:val="both"/>
              <w:rPr>
                <w:rFonts w:ascii="Candara" w:hAnsi="Candara"/>
              </w:rPr>
            </w:pPr>
            <w:r>
              <w:rPr>
                <w:rFonts w:ascii="Candara" w:hAnsi="Candara"/>
              </w:rPr>
              <w:t>Enter</w:t>
            </w:r>
            <w:r w:rsidR="00A947C0">
              <w:rPr>
                <w:rFonts w:ascii="Candara" w:hAnsi="Candara"/>
              </w:rPr>
              <w:t xml:space="preserve"> cause for </w:t>
            </w:r>
            <w:r w:rsidR="00A947C0">
              <w:rPr>
                <w:rFonts w:ascii="Candara" w:hAnsi="Candara"/>
              </w:rPr>
              <w:t>revocation and re-issuance</w:t>
            </w:r>
            <w:r w:rsidR="00A947C0">
              <w:rPr>
                <w:rFonts w:ascii="Candara" w:hAnsi="Candara"/>
              </w:rPr>
              <w:t>:</w:t>
            </w:r>
          </w:p>
          <w:p w:rsidR="00A947C0" w:rsidRDefault="00A947C0" w:rsidP="00A947C0">
            <w:pPr>
              <w:jc w:val="both"/>
              <w:rPr>
                <w:rFonts w:ascii="Candara" w:hAnsi="Candara"/>
              </w:rPr>
            </w:pPr>
          </w:p>
          <w:p w:rsidR="009F0A75" w:rsidRPr="00084FDC" w:rsidRDefault="009F0A75" w:rsidP="002908AD">
            <w:pPr>
              <w:jc w:val="both"/>
              <w:rPr>
                <w:rFonts w:ascii="Candara" w:hAnsi="Candara"/>
              </w:rPr>
            </w:pPr>
          </w:p>
        </w:tc>
      </w:tr>
      <w:tr w:rsidR="009F0A75" w:rsidRPr="00084FDC" w:rsidTr="00D40BF5">
        <w:trPr>
          <w:trHeight w:val="1152"/>
        </w:trPr>
        <w:tc>
          <w:tcPr>
            <w:tcW w:w="3438" w:type="dxa"/>
            <w:gridSpan w:val="2"/>
            <w:tcMar>
              <w:top w:w="72" w:type="dxa"/>
              <w:left w:w="115" w:type="dxa"/>
              <w:bottom w:w="72" w:type="dxa"/>
              <w:right w:w="115" w:type="dxa"/>
            </w:tcMar>
          </w:tcPr>
          <w:p w:rsidR="009F0A75" w:rsidRPr="00EA41D3" w:rsidRDefault="009F0A75" w:rsidP="00873F8F">
            <w:pPr>
              <w:jc w:val="both"/>
              <w:rPr>
                <w:rFonts w:ascii="Candara" w:hAnsi="Candara"/>
              </w:rPr>
            </w:pPr>
            <w:r w:rsidRPr="00EA41D3">
              <w:rPr>
                <w:rFonts w:ascii="Candara" w:hAnsi="Candara"/>
                <w:sz w:val="36"/>
              </w:rPr>
              <w:sym w:font="Wingdings" w:char="F072"/>
            </w:r>
            <w:r w:rsidR="00193AA1">
              <w:rPr>
                <w:rFonts w:ascii="Candara" w:hAnsi="Candara"/>
              </w:rPr>
              <w:t xml:space="preserve">   </w:t>
            </w:r>
            <w:r w:rsidR="00873F8F">
              <w:rPr>
                <w:rFonts w:ascii="Candara" w:hAnsi="Candara"/>
              </w:rPr>
              <w:t>Termination</w:t>
            </w:r>
          </w:p>
        </w:tc>
        <w:tc>
          <w:tcPr>
            <w:tcW w:w="7585" w:type="dxa"/>
            <w:tcMar>
              <w:top w:w="72" w:type="dxa"/>
              <w:left w:w="115" w:type="dxa"/>
              <w:bottom w:w="72" w:type="dxa"/>
              <w:right w:w="115" w:type="dxa"/>
            </w:tcMar>
          </w:tcPr>
          <w:p w:rsidR="009F0A75" w:rsidRDefault="00A947C0" w:rsidP="002908AD">
            <w:pPr>
              <w:jc w:val="both"/>
              <w:rPr>
                <w:rFonts w:ascii="Candara" w:hAnsi="Candara"/>
              </w:rPr>
            </w:pPr>
            <w:r>
              <w:rPr>
                <w:rFonts w:ascii="Candara" w:hAnsi="Candara"/>
              </w:rPr>
              <w:t>See Section ‘b’ of Attached Narrative:</w:t>
            </w:r>
          </w:p>
          <w:p w:rsidR="00A947C0" w:rsidRDefault="00D10ED2" w:rsidP="00A947C0">
            <w:pPr>
              <w:jc w:val="both"/>
              <w:rPr>
                <w:rFonts w:ascii="Candara" w:hAnsi="Candara"/>
              </w:rPr>
            </w:pPr>
            <w:r>
              <w:rPr>
                <w:rFonts w:ascii="Candara" w:hAnsi="Candara"/>
              </w:rPr>
              <w:t>Enter</w:t>
            </w:r>
            <w:r w:rsidR="00A947C0">
              <w:rPr>
                <w:rFonts w:ascii="Candara" w:hAnsi="Candara"/>
              </w:rPr>
              <w:t xml:space="preserve"> cause for </w:t>
            </w:r>
            <w:r w:rsidR="00A947C0">
              <w:rPr>
                <w:rFonts w:ascii="Candara" w:hAnsi="Candara"/>
              </w:rPr>
              <w:t>termination</w:t>
            </w:r>
            <w:r w:rsidR="00A947C0">
              <w:rPr>
                <w:rFonts w:ascii="Candara" w:hAnsi="Candara"/>
              </w:rPr>
              <w:t>:</w:t>
            </w:r>
          </w:p>
          <w:p w:rsidR="00A947C0" w:rsidRDefault="00A947C0" w:rsidP="00A947C0">
            <w:pPr>
              <w:jc w:val="both"/>
              <w:rPr>
                <w:rFonts w:ascii="Candara" w:hAnsi="Candara"/>
              </w:rPr>
            </w:pPr>
          </w:p>
          <w:p w:rsidR="00A947C0" w:rsidRPr="00084FDC" w:rsidRDefault="00A947C0" w:rsidP="002908AD">
            <w:pPr>
              <w:jc w:val="both"/>
              <w:rPr>
                <w:rFonts w:ascii="Candara" w:hAnsi="Candara"/>
              </w:rPr>
            </w:pPr>
          </w:p>
        </w:tc>
      </w:tr>
      <w:tr w:rsidR="009F0A75" w:rsidRPr="00084FDC" w:rsidTr="009D64FA">
        <w:trPr>
          <w:trHeight w:val="720"/>
        </w:trPr>
        <w:tc>
          <w:tcPr>
            <w:tcW w:w="3438" w:type="dxa"/>
            <w:gridSpan w:val="2"/>
            <w:tcMar>
              <w:top w:w="72" w:type="dxa"/>
              <w:left w:w="115" w:type="dxa"/>
              <w:bottom w:w="72" w:type="dxa"/>
              <w:right w:w="115" w:type="dxa"/>
            </w:tcMar>
          </w:tcPr>
          <w:p w:rsidR="009F0A75" w:rsidRPr="00EA41D3" w:rsidRDefault="009F0A75" w:rsidP="00193AA1">
            <w:pPr>
              <w:jc w:val="both"/>
              <w:rPr>
                <w:rFonts w:ascii="Candara" w:hAnsi="Candara"/>
              </w:rPr>
            </w:pPr>
            <w:r w:rsidRPr="00EA41D3">
              <w:rPr>
                <w:rFonts w:ascii="Candara" w:hAnsi="Candara"/>
                <w:sz w:val="36"/>
              </w:rPr>
              <w:sym w:font="Wingdings" w:char="F072"/>
            </w:r>
            <w:r w:rsidR="00D10ED2">
              <w:rPr>
                <w:rFonts w:ascii="Candara" w:hAnsi="Candara"/>
              </w:rPr>
              <w:t xml:space="preserve">   </w:t>
            </w:r>
            <w:r w:rsidR="00873F8F">
              <w:rPr>
                <w:rFonts w:ascii="Candara" w:hAnsi="Candara"/>
              </w:rPr>
              <w:t>Transfer</w:t>
            </w:r>
            <w:r>
              <w:rPr>
                <w:rFonts w:ascii="Candara" w:hAnsi="Candara"/>
              </w:rPr>
              <w:t xml:space="preserve"> </w:t>
            </w:r>
            <w:r w:rsidR="00873F8F">
              <w:rPr>
                <w:rFonts w:ascii="Candara" w:hAnsi="Candara"/>
              </w:rPr>
              <w:t>with Modification</w:t>
            </w:r>
          </w:p>
        </w:tc>
        <w:tc>
          <w:tcPr>
            <w:tcW w:w="7585" w:type="dxa"/>
            <w:tcMar>
              <w:top w:w="72" w:type="dxa"/>
              <w:left w:w="115" w:type="dxa"/>
              <w:bottom w:w="72" w:type="dxa"/>
              <w:right w:w="115" w:type="dxa"/>
            </w:tcMar>
          </w:tcPr>
          <w:p w:rsidR="009F0A75" w:rsidRDefault="00D10ED2" w:rsidP="002908AD">
            <w:pPr>
              <w:jc w:val="both"/>
              <w:rPr>
                <w:rFonts w:ascii="Candara" w:hAnsi="Candara"/>
              </w:rPr>
            </w:pPr>
            <w:r>
              <w:rPr>
                <w:rFonts w:ascii="Candara" w:hAnsi="Candara"/>
              </w:rPr>
              <w:t>See Section ‘d’ of Attached Narrative</w:t>
            </w:r>
          </w:p>
          <w:p w:rsidR="009D64FA" w:rsidRPr="00084FDC" w:rsidRDefault="009D64FA" w:rsidP="002908AD">
            <w:pPr>
              <w:jc w:val="both"/>
              <w:rPr>
                <w:rFonts w:ascii="Candara" w:hAnsi="Candara"/>
              </w:rPr>
            </w:pPr>
          </w:p>
        </w:tc>
      </w:tr>
      <w:tr w:rsidR="00873F8F" w:rsidRPr="00084FDC" w:rsidTr="009D64FA">
        <w:trPr>
          <w:trHeight w:val="720"/>
        </w:trPr>
        <w:tc>
          <w:tcPr>
            <w:tcW w:w="3438" w:type="dxa"/>
            <w:gridSpan w:val="2"/>
            <w:tcMar>
              <w:top w:w="72" w:type="dxa"/>
              <w:left w:w="115" w:type="dxa"/>
              <w:bottom w:w="72" w:type="dxa"/>
              <w:right w:w="115" w:type="dxa"/>
            </w:tcMar>
          </w:tcPr>
          <w:p w:rsidR="00873F8F" w:rsidRPr="00EA41D3" w:rsidRDefault="00873F8F" w:rsidP="00873F8F">
            <w:pPr>
              <w:jc w:val="both"/>
              <w:rPr>
                <w:rFonts w:ascii="Candara" w:hAnsi="Candara"/>
                <w:sz w:val="36"/>
              </w:rPr>
            </w:pPr>
            <w:r w:rsidRPr="00EA41D3">
              <w:rPr>
                <w:rFonts w:ascii="Candara" w:hAnsi="Candara"/>
                <w:sz w:val="36"/>
              </w:rPr>
              <w:sym w:font="Wingdings" w:char="F072"/>
            </w:r>
            <w:r w:rsidR="00D10ED2">
              <w:rPr>
                <w:rFonts w:ascii="Candara" w:hAnsi="Candara"/>
              </w:rPr>
              <w:t xml:space="preserve">   </w:t>
            </w:r>
            <w:r>
              <w:rPr>
                <w:rFonts w:ascii="Candara" w:hAnsi="Candara"/>
              </w:rPr>
              <w:t>Automatic T</w:t>
            </w:r>
            <w:r>
              <w:rPr>
                <w:rFonts w:ascii="Candara" w:hAnsi="Candara"/>
              </w:rPr>
              <w:t>ransfer</w:t>
            </w:r>
          </w:p>
        </w:tc>
        <w:tc>
          <w:tcPr>
            <w:tcW w:w="7585" w:type="dxa"/>
            <w:tcMar>
              <w:top w:w="72" w:type="dxa"/>
              <w:left w:w="115" w:type="dxa"/>
              <w:bottom w:w="72" w:type="dxa"/>
              <w:right w:w="115" w:type="dxa"/>
            </w:tcMar>
          </w:tcPr>
          <w:p w:rsidR="00873F8F" w:rsidRDefault="009D64FA" w:rsidP="002908AD">
            <w:pPr>
              <w:jc w:val="both"/>
              <w:rPr>
                <w:rFonts w:ascii="Candara" w:hAnsi="Candara"/>
              </w:rPr>
            </w:pPr>
            <w:r>
              <w:rPr>
                <w:rFonts w:ascii="Candara" w:hAnsi="Candara"/>
              </w:rPr>
              <w:t>See Section ‘d’ of Attached Narrative</w:t>
            </w:r>
          </w:p>
          <w:p w:rsidR="009D64FA" w:rsidRPr="00084FDC" w:rsidRDefault="009D64FA" w:rsidP="002908AD">
            <w:pPr>
              <w:jc w:val="both"/>
              <w:rPr>
                <w:rFonts w:ascii="Candara" w:hAnsi="Candara"/>
              </w:rPr>
            </w:pPr>
          </w:p>
        </w:tc>
      </w:tr>
      <w:tr w:rsidR="00131431" w:rsidRPr="00084FDC" w:rsidTr="00131431">
        <w:trPr>
          <w:trHeight w:val="1932"/>
        </w:trPr>
        <w:tc>
          <w:tcPr>
            <w:tcW w:w="11023" w:type="dxa"/>
            <w:gridSpan w:val="3"/>
            <w:tcMar>
              <w:top w:w="72" w:type="dxa"/>
              <w:left w:w="115" w:type="dxa"/>
              <w:bottom w:w="72" w:type="dxa"/>
              <w:right w:w="115" w:type="dxa"/>
            </w:tcMar>
          </w:tcPr>
          <w:p w:rsidR="00131431" w:rsidRPr="00084FDC" w:rsidRDefault="00131431" w:rsidP="00131431">
            <w:pPr>
              <w:jc w:val="both"/>
              <w:rPr>
                <w:rFonts w:ascii="Candara" w:hAnsi="Candara"/>
              </w:rPr>
            </w:pPr>
            <w:r>
              <w:rPr>
                <w:rFonts w:ascii="Candara" w:hAnsi="Candara"/>
              </w:rPr>
              <w:t>Comply with the instructions in the relevant section(s), a – d, of the following narrative then submit this completed form along with supporting documents to DWQ or the permittee as appropriate.</w:t>
            </w:r>
          </w:p>
        </w:tc>
      </w:tr>
    </w:tbl>
    <w:p w:rsidR="00084FDC" w:rsidRPr="00ED0CE9" w:rsidRDefault="00084FDC" w:rsidP="00BC0903">
      <w:pPr>
        <w:pStyle w:val="Heading3"/>
        <w:keepNext w:val="0"/>
        <w:spacing w:before="240" w:after="120"/>
        <w:ind w:left="720"/>
        <w:rPr>
          <w:rFonts w:ascii="Candara" w:hAnsi="Candara"/>
          <w:sz w:val="32"/>
        </w:rPr>
      </w:pPr>
      <w:bookmarkStart w:id="0" w:name="_Toc495927443"/>
      <w:r w:rsidRPr="00ED0CE9">
        <w:rPr>
          <w:rFonts w:ascii="Candara" w:hAnsi="Candara"/>
          <w:sz w:val="32"/>
        </w:rPr>
        <w:lastRenderedPageBreak/>
        <w:t>Permit Actions</w:t>
      </w:r>
      <w:bookmarkEnd w:id="0"/>
      <w:r w:rsidR="00ED0CE9" w:rsidRPr="00ED0CE9">
        <w:rPr>
          <w:rFonts w:ascii="Candara" w:hAnsi="Candara"/>
          <w:sz w:val="32"/>
        </w:rPr>
        <w:t xml:space="preserve"> for Existing UIC Permits</w:t>
      </w:r>
    </w:p>
    <w:p w:rsidR="00084FDC" w:rsidRPr="00ED0CE9" w:rsidRDefault="00ED0CE9" w:rsidP="00084FDC">
      <w:pPr>
        <w:pStyle w:val="BodyText2"/>
        <w:rPr>
          <w:rFonts w:ascii="Candara" w:hAnsi="Candara"/>
          <w:sz w:val="24"/>
        </w:rPr>
      </w:pPr>
      <w:r w:rsidRPr="00ED0CE9">
        <w:rPr>
          <w:rFonts w:ascii="Candara" w:hAnsi="Candara"/>
          <w:sz w:val="24"/>
        </w:rPr>
        <w:t>Relevant federal regulations</w:t>
      </w:r>
      <w:r w:rsidR="002A1B1B">
        <w:rPr>
          <w:rFonts w:ascii="Candara" w:hAnsi="Candara"/>
          <w:sz w:val="24"/>
        </w:rPr>
        <w:t xml:space="preserve"> incorporated-by-reference into R317-7</w:t>
      </w:r>
      <w:r w:rsidRPr="00ED0CE9">
        <w:rPr>
          <w:rFonts w:ascii="Candara" w:hAnsi="Candara"/>
          <w:sz w:val="24"/>
        </w:rPr>
        <w:t xml:space="preserve">:  </w:t>
      </w:r>
      <w:r w:rsidR="00084FDC" w:rsidRPr="00ED0CE9">
        <w:rPr>
          <w:rFonts w:ascii="Candara" w:hAnsi="Candara"/>
          <w:sz w:val="24"/>
        </w:rPr>
        <w:t>40 C</w:t>
      </w:r>
      <w:r w:rsidR="00F873FA">
        <w:rPr>
          <w:rFonts w:ascii="Candara" w:hAnsi="Candara"/>
          <w:sz w:val="24"/>
        </w:rPr>
        <w:t>FR 124.5, 40 CFR 144.38, §144.39, §144.40, §</w:t>
      </w:r>
      <w:r w:rsidR="00084FDC" w:rsidRPr="00ED0CE9">
        <w:rPr>
          <w:rFonts w:ascii="Candara" w:hAnsi="Candara"/>
          <w:sz w:val="24"/>
        </w:rPr>
        <w:t>144.41</w:t>
      </w:r>
      <w:r w:rsidR="00F873FA">
        <w:rPr>
          <w:rFonts w:ascii="Candara" w:hAnsi="Candara"/>
          <w:sz w:val="24"/>
        </w:rPr>
        <w:t>, §</w:t>
      </w:r>
      <w:r w:rsidR="00A30EFE">
        <w:rPr>
          <w:rFonts w:ascii="Candara" w:hAnsi="Candara"/>
          <w:sz w:val="24"/>
        </w:rPr>
        <w:t>144.52(a</w:t>
      </w:r>
      <w:proofErr w:type="gramStart"/>
      <w:r w:rsidR="00A30EFE">
        <w:rPr>
          <w:rFonts w:ascii="Candara" w:hAnsi="Candara"/>
          <w:sz w:val="24"/>
        </w:rPr>
        <w:t>)(</w:t>
      </w:r>
      <w:proofErr w:type="gramEnd"/>
      <w:r w:rsidR="00A30EFE">
        <w:rPr>
          <w:rFonts w:ascii="Candara" w:hAnsi="Candara"/>
          <w:sz w:val="24"/>
        </w:rPr>
        <w:t>7)</w:t>
      </w:r>
      <w:bookmarkStart w:id="1" w:name="_GoBack"/>
      <w:bookmarkEnd w:id="1"/>
    </w:p>
    <w:p w:rsidR="00BC0903" w:rsidRPr="00ED0CE9" w:rsidRDefault="00BC0903" w:rsidP="00084FDC">
      <w:pPr>
        <w:pStyle w:val="BodyText2"/>
        <w:rPr>
          <w:rFonts w:ascii="Candara" w:hAnsi="Candara"/>
          <w:sz w:val="24"/>
        </w:rPr>
      </w:pPr>
    </w:p>
    <w:p w:rsidR="00CC4477" w:rsidRDefault="0087501C" w:rsidP="00CC4477">
      <w:pPr>
        <w:pStyle w:val="BodyText2"/>
        <w:tabs>
          <w:tab w:val="right" w:pos="10800"/>
        </w:tabs>
        <w:jc w:val="both"/>
        <w:rPr>
          <w:rFonts w:ascii="Candara" w:hAnsi="Candara"/>
          <w:sz w:val="24"/>
        </w:rPr>
      </w:pPr>
      <w:r w:rsidRPr="00ED0CE9">
        <w:rPr>
          <w:rFonts w:ascii="Candara" w:hAnsi="Candara"/>
          <w:sz w:val="24"/>
        </w:rPr>
        <w:t>A UIC</w:t>
      </w:r>
      <w:r w:rsidR="00084FDC" w:rsidRPr="00ED0CE9">
        <w:rPr>
          <w:rFonts w:ascii="Candara" w:hAnsi="Candara"/>
          <w:sz w:val="24"/>
        </w:rPr>
        <w:t xml:space="preserve"> permit may be modified, revoked and re</w:t>
      </w:r>
      <w:r w:rsidR="00A35B02">
        <w:rPr>
          <w:rFonts w:ascii="Candara" w:hAnsi="Candara"/>
          <w:sz w:val="24"/>
        </w:rPr>
        <w:t>-</w:t>
      </w:r>
      <w:r w:rsidR="00084FDC" w:rsidRPr="00ED0CE9">
        <w:rPr>
          <w:rFonts w:ascii="Candara" w:hAnsi="Candara"/>
          <w:sz w:val="24"/>
        </w:rPr>
        <w:t>issued, or terminated either at the request of any interested person (including the permittee) or upon the Director's initiative.  However, permits may only be modified, revoked and re</w:t>
      </w:r>
      <w:r w:rsidR="00BC0903" w:rsidRPr="00ED0CE9">
        <w:rPr>
          <w:rFonts w:ascii="Candara" w:hAnsi="Candara"/>
          <w:sz w:val="24"/>
        </w:rPr>
        <w:t>-</w:t>
      </w:r>
      <w:r w:rsidR="00084FDC" w:rsidRPr="00ED0CE9">
        <w:rPr>
          <w:rFonts w:ascii="Candara" w:hAnsi="Candara"/>
          <w:sz w:val="24"/>
        </w:rPr>
        <w:t xml:space="preserve">issued, or terminated for the reasons specified </w:t>
      </w:r>
      <w:r w:rsidR="00BC0903" w:rsidRPr="00ED0CE9">
        <w:rPr>
          <w:rFonts w:ascii="Candara" w:hAnsi="Candara"/>
          <w:sz w:val="24"/>
        </w:rPr>
        <w:t>in sections a) and b) below</w:t>
      </w:r>
      <w:r w:rsidR="00084FDC" w:rsidRPr="00ED0CE9">
        <w:rPr>
          <w:rFonts w:ascii="Candara" w:hAnsi="Candara"/>
          <w:sz w:val="24"/>
        </w:rPr>
        <w:t xml:space="preserve">. </w:t>
      </w:r>
      <w:r w:rsidR="00BC0903" w:rsidRPr="00ED0CE9">
        <w:rPr>
          <w:rFonts w:ascii="Candara" w:hAnsi="Candara"/>
          <w:sz w:val="24"/>
        </w:rPr>
        <w:t xml:space="preserve"> </w:t>
      </w:r>
      <w:r w:rsidR="00084FDC" w:rsidRPr="00ED0CE9">
        <w:rPr>
          <w:rFonts w:ascii="Candara" w:hAnsi="Candara"/>
          <w:sz w:val="24"/>
        </w:rPr>
        <w:t>All requests shall be in writing and shall contain facts or r</w:t>
      </w:r>
      <w:r w:rsidR="009F0A75">
        <w:rPr>
          <w:rFonts w:ascii="Candara" w:hAnsi="Candara"/>
          <w:sz w:val="24"/>
        </w:rPr>
        <w:t>easons supporting the request.</w:t>
      </w:r>
      <w:r w:rsidR="00CC4477">
        <w:rPr>
          <w:rFonts w:ascii="Candara" w:hAnsi="Candara"/>
          <w:sz w:val="24"/>
        </w:rPr>
        <w:tab/>
        <w:t>40 CFR 124.5(a)</w:t>
      </w:r>
    </w:p>
    <w:p w:rsidR="00CC4477" w:rsidRDefault="00CC4477" w:rsidP="002A1B1B">
      <w:pPr>
        <w:pStyle w:val="BodyText2"/>
        <w:jc w:val="both"/>
        <w:rPr>
          <w:rFonts w:ascii="Candara" w:hAnsi="Candara"/>
          <w:sz w:val="24"/>
        </w:rPr>
      </w:pPr>
    </w:p>
    <w:p w:rsidR="00084FDC" w:rsidRPr="00ED0CE9" w:rsidRDefault="00084FDC" w:rsidP="002A1B1B">
      <w:pPr>
        <w:pStyle w:val="BodyText2"/>
        <w:jc w:val="both"/>
        <w:rPr>
          <w:rFonts w:ascii="Candara" w:hAnsi="Candara"/>
          <w:sz w:val="24"/>
        </w:rPr>
      </w:pPr>
      <w:r w:rsidRPr="00ED0CE9">
        <w:rPr>
          <w:rFonts w:ascii="Candara" w:hAnsi="Candara"/>
          <w:sz w:val="24"/>
        </w:rPr>
        <w:t xml:space="preserve">The filing of a request for a permit modification, revocation and re-issuance, or termination on the part of the permittee, does not stay any permit condition.  </w:t>
      </w:r>
      <w:r w:rsidR="00A35B02">
        <w:rPr>
          <w:rFonts w:ascii="Candara" w:hAnsi="Candara"/>
          <w:sz w:val="24"/>
        </w:rPr>
        <w:t>A UIC</w:t>
      </w:r>
      <w:r w:rsidRPr="00ED0CE9">
        <w:rPr>
          <w:rFonts w:ascii="Candara" w:hAnsi="Candara"/>
          <w:sz w:val="24"/>
        </w:rPr>
        <w:t xml:space="preserve"> permit may be transferred according to the procedures given in section d).</w:t>
      </w:r>
    </w:p>
    <w:p w:rsidR="00084FDC" w:rsidRPr="00ED0CE9" w:rsidRDefault="00084FDC" w:rsidP="00A609C2">
      <w:pPr>
        <w:numPr>
          <w:ilvl w:val="3"/>
          <w:numId w:val="2"/>
        </w:numPr>
        <w:tabs>
          <w:tab w:val="right" w:pos="10800"/>
        </w:tabs>
        <w:spacing w:before="120"/>
        <w:ind w:left="432"/>
        <w:jc w:val="both"/>
        <w:rPr>
          <w:rFonts w:ascii="Candara" w:hAnsi="Candara"/>
        </w:rPr>
      </w:pPr>
      <w:r w:rsidRPr="00ED0CE9">
        <w:rPr>
          <w:rFonts w:ascii="Candara" w:hAnsi="Candara"/>
        </w:rPr>
        <w:t>Modify or Revoke and Re-Issue Permits</w:t>
      </w:r>
      <w:r w:rsidR="002A1B1B">
        <w:rPr>
          <w:rFonts w:ascii="Candara" w:hAnsi="Candara"/>
        </w:rPr>
        <w:tab/>
        <w:t>(40 CFR 144.39)</w:t>
      </w:r>
    </w:p>
    <w:p w:rsidR="00084FDC" w:rsidRPr="00ED0CE9" w:rsidRDefault="00084FDC" w:rsidP="009F0A75">
      <w:pPr>
        <w:pStyle w:val="BodyText2"/>
        <w:spacing w:before="120"/>
        <w:ind w:left="432"/>
        <w:jc w:val="both"/>
        <w:rPr>
          <w:rFonts w:ascii="Candara" w:hAnsi="Candara"/>
          <w:sz w:val="24"/>
        </w:rPr>
      </w:pPr>
      <w:bookmarkStart w:id="2" w:name="Part_IID7"/>
      <w:bookmarkEnd w:id="2"/>
      <w:r w:rsidRPr="00ED0CE9">
        <w:rPr>
          <w:rFonts w:ascii="Candara" w:hAnsi="Candara"/>
          <w:sz w:val="24"/>
        </w:rPr>
        <w:t>When the Director of the Utah Division of Water Quality (hereafter referred to as ‘the Director’) receives any information (for example, inspects the facility, receives information submitted by the permittee as required in the permit, receives a request for modification or revocation and re</w:t>
      </w:r>
      <w:r w:rsidR="0087501C" w:rsidRPr="00ED0CE9">
        <w:rPr>
          <w:rFonts w:ascii="Candara" w:hAnsi="Candara"/>
          <w:sz w:val="24"/>
        </w:rPr>
        <w:t>-</w:t>
      </w:r>
      <w:r w:rsidRPr="00ED0CE9">
        <w:rPr>
          <w:rFonts w:ascii="Candara" w:hAnsi="Candara"/>
          <w:sz w:val="24"/>
        </w:rPr>
        <w:t xml:space="preserve">issuance, or conducts a review of the permit file), the Director may determine whether or not one or more of the causes listed in paragraphs (1) and (2) of this section </w:t>
      </w:r>
      <w:r w:rsidR="009D64FA">
        <w:rPr>
          <w:rFonts w:ascii="Candara" w:hAnsi="Candara"/>
          <w:sz w:val="24"/>
        </w:rPr>
        <w:t xml:space="preserve">a) </w:t>
      </w:r>
      <w:r w:rsidRPr="00ED0CE9">
        <w:rPr>
          <w:rFonts w:ascii="Candara" w:hAnsi="Candara"/>
          <w:sz w:val="24"/>
        </w:rPr>
        <w:t>for modification or revocation and re</w:t>
      </w:r>
      <w:r w:rsidR="0087501C" w:rsidRPr="00ED0CE9">
        <w:rPr>
          <w:rFonts w:ascii="Candara" w:hAnsi="Candara"/>
          <w:sz w:val="24"/>
        </w:rPr>
        <w:t>-</w:t>
      </w:r>
      <w:r w:rsidRPr="00ED0CE9">
        <w:rPr>
          <w:rFonts w:ascii="Candara" w:hAnsi="Candara"/>
          <w:sz w:val="24"/>
        </w:rPr>
        <w:t>issuance or both exist.  If cause exists, the Director may modify or revoke and re</w:t>
      </w:r>
      <w:r w:rsidR="0087501C" w:rsidRPr="00ED0CE9">
        <w:rPr>
          <w:rFonts w:ascii="Candara" w:hAnsi="Candara"/>
          <w:sz w:val="24"/>
        </w:rPr>
        <w:t>-</w:t>
      </w:r>
      <w:r w:rsidRPr="00ED0CE9">
        <w:rPr>
          <w:rFonts w:ascii="Candara" w:hAnsi="Candara"/>
          <w:sz w:val="24"/>
        </w:rPr>
        <w:t>issue the permit accordingly, subject to the limitations of paragraph (3) of this section</w:t>
      </w:r>
      <w:r w:rsidR="009D64FA">
        <w:rPr>
          <w:rFonts w:ascii="Candara" w:hAnsi="Candara"/>
          <w:sz w:val="24"/>
        </w:rPr>
        <w:t xml:space="preserve"> a)</w:t>
      </w:r>
      <w:r w:rsidRPr="00ED0CE9">
        <w:rPr>
          <w:rFonts w:ascii="Candara" w:hAnsi="Candara"/>
          <w:sz w:val="24"/>
        </w:rPr>
        <w:t>, and may request an updated application if necessary.  When a permit is modified, only the conditions subject to modification are reopened.  If a permit is revoked and re</w:t>
      </w:r>
      <w:r w:rsidR="00A35B02">
        <w:rPr>
          <w:rFonts w:ascii="Candara" w:hAnsi="Candara"/>
          <w:sz w:val="24"/>
        </w:rPr>
        <w:t>-</w:t>
      </w:r>
      <w:r w:rsidRPr="00ED0CE9">
        <w:rPr>
          <w:rFonts w:ascii="Candara" w:hAnsi="Candara"/>
          <w:sz w:val="24"/>
        </w:rPr>
        <w:t>issued, the entire permit is reopened and subject to revision and the permit is re</w:t>
      </w:r>
      <w:r w:rsidR="00A35B02">
        <w:rPr>
          <w:rFonts w:ascii="Candara" w:hAnsi="Candara"/>
          <w:sz w:val="24"/>
        </w:rPr>
        <w:t>-</w:t>
      </w:r>
      <w:r w:rsidRPr="00ED0CE9">
        <w:rPr>
          <w:rFonts w:ascii="Candara" w:hAnsi="Candara"/>
          <w:sz w:val="24"/>
        </w:rPr>
        <w:t>issued for a new term.  If cause does not exist under this section a) or under section c) for minor modifications, the Director shall not modify or revoke and re</w:t>
      </w:r>
      <w:r w:rsidR="00BC0903" w:rsidRPr="00ED0CE9">
        <w:rPr>
          <w:rFonts w:ascii="Candara" w:hAnsi="Candara"/>
          <w:sz w:val="24"/>
        </w:rPr>
        <w:t>-</w:t>
      </w:r>
      <w:r w:rsidRPr="00ED0CE9">
        <w:rPr>
          <w:rFonts w:ascii="Candara" w:hAnsi="Candara"/>
          <w:sz w:val="24"/>
        </w:rPr>
        <w:t xml:space="preserve">issue the permit.  If a permit modification satisfies the criteria for minor modifications in section c) the permit may be modified without a draft permit or public review.  Otherwise, a draft permit must be prepared and </w:t>
      </w:r>
      <w:r w:rsidR="00F852AE">
        <w:rPr>
          <w:rFonts w:ascii="Candara" w:hAnsi="Candara"/>
          <w:sz w:val="24"/>
        </w:rPr>
        <w:t xml:space="preserve">other procedures in 40 CFR 124 </w:t>
      </w:r>
      <w:r w:rsidRPr="00ED0CE9">
        <w:rPr>
          <w:rFonts w:ascii="Candara" w:hAnsi="Candara"/>
          <w:sz w:val="24"/>
        </w:rPr>
        <w:t xml:space="preserve">must be followed. </w:t>
      </w:r>
    </w:p>
    <w:p w:rsidR="00084FDC" w:rsidRPr="00ED0CE9" w:rsidRDefault="00084FDC" w:rsidP="00A609C2">
      <w:pPr>
        <w:numPr>
          <w:ilvl w:val="4"/>
          <w:numId w:val="3"/>
        </w:numPr>
        <w:spacing w:before="120"/>
        <w:ind w:left="900"/>
        <w:jc w:val="both"/>
        <w:rPr>
          <w:rFonts w:ascii="Candara" w:hAnsi="Candara"/>
        </w:rPr>
      </w:pPr>
      <w:r w:rsidRPr="00ED0CE9">
        <w:rPr>
          <w:rFonts w:ascii="Candara" w:hAnsi="Candara"/>
        </w:rPr>
        <w:t xml:space="preserve">Causes for modification.  </w:t>
      </w:r>
      <w:r w:rsidR="009276F6" w:rsidRPr="009276F6">
        <w:rPr>
          <w:rFonts w:ascii="Candara" w:hAnsi="Candara"/>
        </w:rPr>
        <w:t>The following are causes for modification. For Class I hazardous waste injection wells, Class II, Class III or Class VI wells the following may be causes for revocation and reissuance as well as modification; and for all other wells the following may be cause for revocation or reissuance as well as modification when the permittee requests or agrees.</w:t>
      </w:r>
    </w:p>
    <w:p w:rsidR="00084FDC" w:rsidRPr="00ED0CE9" w:rsidRDefault="00084FDC" w:rsidP="00A609C2">
      <w:pPr>
        <w:numPr>
          <w:ilvl w:val="5"/>
          <w:numId w:val="2"/>
        </w:numPr>
        <w:spacing w:before="120"/>
        <w:ind w:left="1080"/>
        <w:jc w:val="both"/>
        <w:rPr>
          <w:rFonts w:ascii="Candara" w:hAnsi="Candara"/>
        </w:rPr>
      </w:pPr>
      <w:r w:rsidRPr="00ED0CE9">
        <w:rPr>
          <w:rFonts w:ascii="Candara" w:hAnsi="Candara"/>
        </w:rPr>
        <w:t xml:space="preserve">Alterations.  There </w:t>
      </w:r>
      <w:proofErr w:type="gramStart"/>
      <w:r w:rsidRPr="00ED0CE9">
        <w:rPr>
          <w:rFonts w:ascii="Candara" w:hAnsi="Candara"/>
        </w:rPr>
        <w:t>are material</w:t>
      </w:r>
      <w:proofErr w:type="gramEnd"/>
      <w:r w:rsidRPr="00ED0CE9">
        <w:rPr>
          <w:rFonts w:ascii="Candara" w:hAnsi="Candara"/>
        </w:rPr>
        <w:t xml:space="preserve"> and substantial alterations or additions to the permitted facility or activity which occurred after permit issuance which justify the application of permit conditions that are different or absent in the existing permit.</w:t>
      </w:r>
    </w:p>
    <w:p w:rsidR="00084FDC" w:rsidRPr="00ED0CE9" w:rsidRDefault="00084FDC" w:rsidP="00A609C2">
      <w:pPr>
        <w:numPr>
          <w:ilvl w:val="5"/>
          <w:numId w:val="2"/>
        </w:numPr>
        <w:spacing w:before="120"/>
        <w:ind w:left="1080"/>
        <w:jc w:val="both"/>
        <w:rPr>
          <w:rFonts w:ascii="Candara" w:hAnsi="Candara"/>
        </w:rPr>
      </w:pPr>
      <w:r w:rsidRPr="00ED0CE9">
        <w:rPr>
          <w:rFonts w:ascii="Candara" w:hAnsi="Candara"/>
        </w:rPr>
        <w:t xml:space="preserve">Information.  The Director has received information.  </w:t>
      </w:r>
      <w:r w:rsidR="007935D1" w:rsidRPr="00ED0CE9">
        <w:rPr>
          <w:rFonts w:ascii="Candara" w:hAnsi="Candara"/>
        </w:rPr>
        <w:t xml:space="preserve">Permits other than for Class II and III wells may be modified during their terms for this cause only if the information was not available at the time of permit issuance (other than revised regulations, guidance, or test methods) and would have justified the application of different permit conditions at the time of issuance.  </w:t>
      </w:r>
      <w:r w:rsidRPr="00ED0CE9">
        <w:rPr>
          <w:rFonts w:ascii="Candara" w:hAnsi="Candara"/>
        </w:rPr>
        <w:t>For UIC area permits, this cause shall include any information indicating that cumulative effects on the environment are unacceptable.</w:t>
      </w:r>
    </w:p>
    <w:p w:rsidR="00084FDC" w:rsidRPr="00ED0CE9" w:rsidRDefault="00084FDC" w:rsidP="00A609C2">
      <w:pPr>
        <w:numPr>
          <w:ilvl w:val="5"/>
          <w:numId w:val="2"/>
        </w:numPr>
        <w:spacing w:before="120"/>
        <w:ind w:left="1080"/>
        <w:jc w:val="both"/>
        <w:rPr>
          <w:rFonts w:ascii="Candara" w:hAnsi="Candara"/>
        </w:rPr>
      </w:pPr>
      <w:r w:rsidRPr="00ED0CE9">
        <w:rPr>
          <w:rFonts w:ascii="Candara" w:hAnsi="Candara"/>
        </w:rPr>
        <w:t xml:space="preserve">New regulations.  The standards or regulations on which the permit was based have been changed by promulgation of new or amended standards or regulations or by judicial decision after the permit was issued. </w:t>
      </w:r>
      <w:r w:rsidR="004B7DEB" w:rsidRPr="00ED0CE9">
        <w:rPr>
          <w:rFonts w:ascii="Candara" w:hAnsi="Candara"/>
        </w:rPr>
        <w:t xml:space="preserve">  Permits other than for Class I hazardous waste injection wells, </w:t>
      </w:r>
      <w:r w:rsidR="004B7DEB" w:rsidRPr="00ED0CE9">
        <w:rPr>
          <w:rFonts w:ascii="Candara" w:hAnsi="Candara"/>
        </w:rPr>
        <w:lastRenderedPageBreak/>
        <w:t>Class II, or Class III wells may be modified during their permit terms for this cause only as follows:</w:t>
      </w:r>
    </w:p>
    <w:p w:rsidR="004B7DEB" w:rsidRPr="004464BC" w:rsidRDefault="004B7DEB" w:rsidP="00A609C2">
      <w:pPr>
        <w:pStyle w:val="ListParagraph"/>
        <w:numPr>
          <w:ilvl w:val="0"/>
          <w:numId w:val="5"/>
        </w:numPr>
        <w:spacing w:before="120"/>
        <w:jc w:val="both"/>
        <w:rPr>
          <w:rFonts w:ascii="Candara" w:hAnsi="Candara"/>
        </w:rPr>
      </w:pPr>
      <w:r w:rsidRPr="004464BC">
        <w:rPr>
          <w:rFonts w:ascii="Candara" w:hAnsi="Candara"/>
        </w:rPr>
        <w:t>For promulgation of amended standards or regulations, when:</w:t>
      </w:r>
    </w:p>
    <w:p w:rsidR="004B7DEB" w:rsidRPr="00ED0CE9" w:rsidRDefault="004B7DEB" w:rsidP="00A609C2">
      <w:pPr>
        <w:pStyle w:val="ListParagraph"/>
        <w:numPr>
          <w:ilvl w:val="0"/>
          <w:numId w:val="4"/>
        </w:numPr>
        <w:spacing w:before="120" w:after="120"/>
        <w:ind w:left="2520" w:hanging="540"/>
        <w:contextualSpacing w:val="0"/>
        <w:jc w:val="both"/>
        <w:rPr>
          <w:rFonts w:ascii="Candara" w:hAnsi="Candara"/>
        </w:rPr>
      </w:pPr>
      <w:r w:rsidRPr="00ED0CE9">
        <w:rPr>
          <w:rFonts w:ascii="Candara" w:hAnsi="Candara"/>
        </w:rPr>
        <w:t>The permit condition requested to be modified was based on a promulgated part 146 regulation; and</w:t>
      </w:r>
    </w:p>
    <w:p w:rsidR="004B7DEB" w:rsidRPr="00ED0CE9" w:rsidRDefault="004B7DEB" w:rsidP="00A609C2">
      <w:pPr>
        <w:pStyle w:val="ListParagraph"/>
        <w:numPr>
          <w:ilvl w:val="0"/>
          <w:numId w:val="4"/>
        </w:numPr>
        <w:spacing w:before="120" w:after="120"/>
        <w:ind w:left="2520" w:hanging="540"/>
        <w:contextualSpacing w:val="0"/>
        <w:jc w:val="both"/>
        <w:rPr>
          <w:rFonts w:ascii="Candara" w:hAnsi="Candara"/>
        </w:rPr>
      </w:pPr>
      <w:r w:rsidRPr="00ED0CE9">
        <w:rPr>
          <w:rFonts w:ascii="Candara" w:hAnsi="Candara"/>
        </w:rPr>
        <w:t>EPA has revised, withdrawn, or modified that portion of the regulation on which the permit condition was based, and</w:t>
      </w:r>
    </w:p>
    <w:p w:rsidR="004B7DEB" w:rsidRPr="00ED0CE9" w:rsidRDefault="004B7DEB" w:rsidP="00A609C2">
      <w:pPr>
        <w:pStyle w:val="ListParagraph"/>
        <w:numPr>
          <w:ilvl w:val="0"/>
          <w:numId w:val="4"/>
        </w:numPr>
        <w:spacing w:before="120" w:after="120"/>
        <w:ind w:left="2520" w:hanging="540"/>
        <w:contextualSpacing w:val="0"/>
        <w:jc w:val="both"/>
        <w:rPr>
          <w:rFonts w:ascii="Candara" w:hAnsi="Candara"/>
        </w:rPr>
      </w:pPr>
      <w:r w:rsidRPr="00ED0CE9">
        <w:rPr>
          <w:rFonts w:ascii="Candara" w:hAnsi="Candara"/>
        </w:rPr>
        <w:t>A permittee requests modification in accordance with § 124.5 within ninety (90) days after Federal Register notice of the action on which the request is based.</w:t>
      </w:r>
    </w:p>
    <w:p w:rsidR="004B7DEB" w:rsidRPr="00ED0CE9" w:rsidRDefault="004B7DEB" w:rsidP="00A609C2">
      <w:pPr>
        <w:pStyle w:val="ListParagraph"/>
        <w:numPr>
          <w:ilvl w:val="0"/>
          <w:numId w:val="5"/>
        </w:numPr>
        <w:spacing w:before="120"/>
        <w:jc w:val="both"/>
        <w:rPr>
          <w:rFonts w:ascii="Candara" w:hAnsi="Candara"/>
        </w:rPr>
      </w:pPr>
      <w:r w:rsidRPr="00ED0CE9">
        <w:rPr>
          <w:rFonts w:ascii="Candara" w:hAnsi="Candara"/>
        </w:rPr>
        <w:t>For judicial decisions, a court of competent jurisdiction has remanded and stayed EPA promulgated regulations if the remand and stay concern that portion of the regulations on which the permit condition was based and a request is filed by the permittee in accordance with § 124.5 within ninety (90) days of judicial remand.</w:t>
      </w:r>
    </w:p>
    <w:p w:rsidR="00084FDC" w:rsidRPr="00ED0CE9" w:rsidRDefault="00084FDC" w:rsidP="00A609C2">
      <w:pPr>
        <w:numPr>
          <w:ilvl w:val="5"/>
          <w:numId w:val="2"/>
        </w:numPr>
        <w:spacing w:before="120"/>
        <w:ind w:left="1080"/>
        <w:jc w:val="both"/>
        <w:rPr>
          <w:rFonts w:ascii="Candara" w:hAnsi="Candara"/>
        </w:rPr>
      </w:pPr>
      <w:r w:rsidRPr="00ED0CE9">
        <w:rPr>
          <w:rFonts w:ascii="Candara" w:hAnsi="Candara"/>
        </w:rPr>
        <w:t>Compliance schedules.  The Director determines good cause exists for modification of a compliance schedule, such as an act of God, strike, flood, or materials shortage or other events over which the permittee has little or no control and for which there is no reasonably available remedy. See also paragraph (3) under section c) – Minor Modification of Permit.</w:t>
      </w:r>
    </w:p>
    <w:p w:rsidR="00084FDC" w:rsidRPr="00ED0CE9" w:rsidRDefault="00084FDC" w:rsidP="00A609C2">
      <w:pPr>
        <w:numPr>
          <w:ilvl w:val="4"/>
          <w:numId w:val="3"/>
        </w:numPr>
        <w:spacing w:before="120"/>
        <w:ind w:left="900"/>
        <w:jc w:val="both"/>
        <w:rPr>
          <w:rFonts w:ascii="Candara" w:hAnsi="Candara"/>
        </w:rPr>
      </w:pPr>
      <w:r w:rsidRPr="00ED0CE9">
        <w:rPr>
          <w:rFonts w:ascii="Candara" w:hAnsi="Candara"/>
        </w:rPr>
        <w:t>Causes for modification or revocation and re</w:t>
      </w:r>
      <w:r w:rsidR="0087501C" w:rsidRPr="00ED0CE9">
        <w:rPr>
          <w:rFonts w:ascii="Candara" w:hAnsi="Candara"/>
        </w:rPr>
        <w:t>-</w:t>
      </w:r>
      <w:r w:rsidRPr="00ED0CE9">
        <w:rPr>
          <w:rFonts w:ascii="Candara" w:hAnsi="Candara"/>
        </w:rPr>
        <w:t>issuance.  The following are causes to modify or, alternatively, revoke and re</w:t>
      </w:r>
      <w:r w:rsidR="00ED0CE9">
        <w:rPr>
          <w:rFonts w:ascii="Candara" w:hAnsi="Candara"/>
        </w:rPr>
        <w:t>-</w:t>
      </w:r>
      <w:r w:rsidRPr="00ED0CE9">
        <w:rPr>
          <w:rFonts w:ascii="Candara" w:hAnsi="Candara"/>
        </w:rPr>
        <w:t>issue a permit:</w:t>
      </w:r>
    </w:p>
    <w:p w:rsidR="00084FDC" w:rsidRPr="00ED0CE9" w:rsidRDefault="00084FDC" w:rsidP="00A609C2">
      <w:pPr>
        <w:numPr>
          <w:ilvl w:val="5"/>
          <w:numId w:val="2"/>
        </w:numPr>
        <w:spacing w:before="120"/>
        <w:ind w:left="1080"/>
        <w:jc w:val="both"/>
        <w:rPr>
          <w:rFonts w:ascii="Candara" w:hAnsi="Candara"/>
        </w:rPr>
      </w:pPr>
      <w:r w:rsidRPr="00ED0CE9">
        <w:rPr>
          <w:rFonts w:ascii="Candara" w:hAnsi="Candara"/>
        </w:rPr>
        <w:t>Cause exists for termination under section b), and the Director determines that modification or revocation and re</w:t>
      </w:r>
      <w:r w:rsidR="00ED0CE9">
        <w:rPr>
          <w:rFonts w:ascii="Candara" w:hAnsi="Candara"/>
        </w:rPr>
        <w:t>-</w:t>
      </w:r>
      <w:r w:rsidRPr="00ED0CE9">
        <w:rPr>
          <w:rFonts w:ascii="Candara" w:hAnsi="Candara"/>
        </w:rPr>
        <w:t>issuance is appropriate.</w:t>
      </w:r>
    </w:p>
    <w:p w:rsidR="00084FDC" w:rsidRPr="00ED0CE9" w:rsidRDefault="00084FDC" w:rsidP="00A609C2">
      <w:pPr>
        <w:numPr>
          <w:ilvl w:val="5"/>
          <w:numId w:val="2"/>
        </w:numPr>
        <w:spacing w:before="120"/>
        <w:ind w:left="1080"/>
        <w:jc w:val="both"/>
        <w:rPr>
          <w:rFonts w:ascii="Candara" w:hAnsi="Candara"/>
        </w:rPr>
      </w:pPr>
      <w:r w:rsidRPr="00ED0CE9">
        <w:rPr>
          <w:rFonts w:ascii="Candara" w:hAnsi="Candara"/>
        </w:rPr>
        <w:t>The Director has received notification (as required in the permit, see paragraph (4) under section c) – Minor Modification of Permit) of a proposed transfer of the permit.  A permit also may be modified to reflect a transfer after the effective date of an automatic transfer (see paragraph (2) of section d) – Transfer of Permit) but will not be revoked and re</w:t>
      </w:r>
      <w:r w:rsidR="007935D1" w:rsidRPr="00ED0CE9">
        <w:rPr>
          <w:rFonts w:ascii="Candara" w:hAnsi="Candara"/>
        </w:rPr>
        <w:t>-</w:t>
      </w:r>
      <w:r w:rsidRPr="00ED0CE9">
        <w:rPr>
          <w:rFonts w:ascii="Candara" w:hAnsi="Candara"/>
        </w:rPr>
        <w:t>issued after the effective date of the transfer except upon the request of the new permittee.</w:t>
      </w:r>
    </w:p>
    <w:p w:rsidR="00084FDC" w:rsidRPr="00ED0CE9" w:rsidRDefault="00084FDC" w:rsidP="00A609C2">
      <w:pPr>
        <w:numPr>
          <w:ilvl w:val="5"/>
          <w:numId w:val="2"/>
        </w:numPr>
        <w:spacing w:before="120"/>
        <w:ind w:left="1080"/>
        <w:jc w:val="both"/>
        <w:rPr>
          <w:rFonts w:ascii="Candara" w:hAnsi="Candara"/>
        </w:rPr>
      </w:pPr>
      <w:r w:rsidRPr="00ED0CE9">
        <w:rPr>
          <w:rFonts w:ascii="Candara" w:hAnsi="Candara"/>
        </w:rPr>
        <w:t>A determination that the waste being injected is a hazardous waste as defined in 40 CFR 261.3 either because the definition has been revised, or because a previous determination has been changed.</w:t>
      </w:r>
    </w:p>
    <w:p w:rsidR="00084FDC" w:rsidRDefault="00084FDC" w:rsidP="00A609C2">
      <w:pPr>
        <w:numPr>
          <w:ilvl w:val="4"/>
          <w:numId w:val="3"/>
        </w:numPr>
        <w:spacing w:before="120"/>
        <w:ind w:left="900"/>
        <w:jc w:val="both"/>
        <w:rPr>
          <w:rFonts w:ascii="Candara" w:hAnsi="Candara"/>
        </w:rPr>
      </w:pPr>
      <w:r w:rsidRPr="00ED0CE9">
        <w:rPr>
          <w:rFonts w:ascii="Candara" w:hAnsi="Candara"/>
        </w:rPr>
        <w:t>Facility siting.  Suitability of the facility location will not be considered at the time of permit modification or revocation and reissuance unless new information or standards indicate that a threat to human health or the environment exists which was unknown at the time of permit issuance.</w:t>
      </w:r>
    </w:p>
    <w:p w:rsidR="00CC4477" w:rsidRDefault="00F852AE" w:rsidP="00193ECA">
      <w:pPr>
        <w:tabs>
          <w:tab w:val="right" w:pos="10800"/>
        </w:tabs>
        <w:spacing w:before="120"/>
        <w:ind w:left="450"/>
        <w:jc w:val="both"/>
        <w:rPr>
          <w:rFonts w:ascii="Candara" w:hAnsi="Candara"/>
        </w:rPr>
      </w:pPr>
      <w:r w:rsidRPr="00F852AE">
        <w:rPr>
          <w:rFonts w:ascii="Candara" w:hAnsi="Candara"/>
        </w:rPr>
        <w:t>If the Director tentatively decides to modify or revoke and re</w:t>
      </w:r>
      <w:r>
        <w:rPr>
          <w:rFonts w:ascii="Candara" w:hAnsi="Candara"/>
        </w:rPr>
        <w:t>-</w:t>
      </w:r>
      <w:r w:rsidRPr="00F852AE">
        <w:rPr>
          <w:rFonts w:ascii="Candara" w:hAnsi="Candara"/>
        </w:rPr>
        <w:t xml:space="preserve">issue a permit under </w:t>
      </w:r>
      <w:r>
        <w:rPr>
          <w:rFonts w:ascii="Candara" w:hAnsi="Candara"/>
        </w:rPr>
        <w:t>this section a)</w:t>
      </w:r>
      <w:r w:rsidRPr="00F852AE">
        <w:rPr>
          <w:rFonts w:ascii="Candara" w:hAnsi="Candara"/>
        </w:rPr>
        <w:t xml:space="preserve">, </w:t>
      </w:r>
      <w:r>
        <w:rPr>
          <w:rFonts w:ascii="Candara" w:hAnsi="Candara"/>
        </w:rPr>
        <w:t>the Director</w:t>
      </w:r>
      <w:r w:rsidRPr="00F852AE">
        <w:rPr>
          <w:rFonts w:ascii="Candara" w:hAnsi="Candara"/>
        </w:rPr>
        <w:t xml:space="preserve"> shall prepare a draft permit under § 124.6 incorporating the proposed changes. </w:t>
      </w:r>
      <w:r>
        <w:rPr>
          <w:rFonts w:ascii="Candara" w:hAnsi="Candara"/>
        </w:rPr>
        <w:t xml:space="preserve"> </w:t>
      </w:r>
      <w:r w:rsidRPr="00F852AE">
        <w:rPr>
          <w:rFonts w:ascii="Candara" w:hAnsi="Candara"/>
        </w:rPr>
        <w:t xml:space="preserve">The Director may request additional information and, in the case of a modified permit, may require the submission of an updated application. </w:t>
      </w:r>
      <w:r>
        <w:rPr>
          <w:rFonts w:ascii="Candara" w:hAnsi="Candara"/>
        </w:rPr>
        <w:t xml:space="preserve"> </w:t>
      </w:r>
      <w:r w:rsidRPr="00F852AE">
        <w:rPr>
          <w:rFonts w:ascii="Candara" w:hAnsi="Candara"/>
        </w:rPr>
        <w:t>In the case of revoked and re</w:t>
      </w:r>
      <w:r>
        <w:rPr>
          <w:rFonts w:ascii="Candara" w:hAnsi="Candara"/>
        </w:rPr>
        <w:t xml:space="preserve">-issued permits </w:t>
      </w:r>
      <w:r w:rsidRPr="00F852AE">
        <w:rPr>
          <w:rFonts w:ascii="Candara" w:hAnsi="Candara"/>
        </w:rPr>
        <w:t>the Director shall require the submission of a new application.</w:t>
      </w:r>
      <w:r w:rsidR="0007378A">
        <w:rPr>
          <w:rFonts w:ascii="Candara" w:hAnsi="Candara"/>
        </w:rPr>
        <w:tab/>
      </w:r>
      <w:r>
        <w:rPr>
          <w:rFonts w:ascii="Candara" w:hAnsi="Candara"/>
        </w:rPr>
        <w:t>40 CFR 124.5(c</w:t>
      </w:r>
      <w:proofErr w:type="gramStart"/>
      <w:r>
        <w:rPr>
          <w:rFonts w:ascii="Candara" w:hAnsi="Candara"/>
        </w:rPr>
        <w:t>)</w:t>
      </w:r>
      <w:r w:rsidR="0007378A">
        <w:rPr>
          <w:rFonts w:ascii="Candara" w:hAnsi="Candara"/>
        </w:rPr>
        <w:t>(</w:t>
      </w:r>
      <w:proofErr w:type="gramEnd"/>
      <w:r w:rsidR="0007378A">
        <w:rPr>
          <w:rFonts w:ascii="Candara" w:hAnsi="Candara"/>
        </w:rPr>
        <w:t>1)</w:t>
      </w:r>
    </w:p>
    <w:p w:rsidR="00F852AE" w:rsidRDefault="00F852AE" w:rsidP="00193ECA">
      <w:pPr>
        <w:tabs>
          <w:tab w:val="right" w:pos="10800"/>
        </w:tabs>
        <w:spacing w:before="120"/>
        <w:ind w:left="450"/>
        <w:jc w:val="both"/>
        <w:rPr>
          <w:rFonts w:ascii="Candara" w:hAnsi="Candara"/>
        </w:rPr>
      </w:pPr>
      <w:r w:rsidRPr="00F852AE">
        <w:rPr>
          <w:rFonts w:ascii="Candara" w:hAnsi="Candara"/>
        </w:rPr>
        <w:t>In a permit modification under this section</w:t>
      </w:r>
      <w:r>
        <w:rPr>
          <w:rFonts w:ascii="Candara" w:hAnsi="Candara"/>
        </w:rPr>
        <w:t xml:space="preserve"> a)</w:t>
      </w:r>
      <w:r w:rsidRPr="00F852AE">
        <w:rPr>
          <w:rFonts w:ascii="Candara" w:hAnsi="Candara"/>
        </w:rPr>
        <w:t xml:space="preserve">, only those conditions to be modified shall be reopened when a new draft permit is prepared. </w:t>
      </w:r>
      <w:r>
        <w:rPr>
          <w:rFonts w:ascii="Candara" w:hAnsi="Candara"/>
        </w:rPr>
        <w:t xml:space="preserve"> </w:t>
      </w:r>
      <w:r w:rsidRPr="00F852AE">
        <w:rPr>
          <w:rFonts w:ascii="Candara" w:hAnsi="Candara"/>
        </w:rPr>
        <w:t xml:space="preserve">All other aspects of the existing permit shall remain in effect for the duration of the unmodified permit. </w:t>
      </w:r>
      <w:r>
        <w:rPr>
          <w:rFonts w:ascii="Candara" w:hAnsi="Candara"/>
        </w:rPr>
        <w:t xml:space="preserve"> </w:t>
      </w:r>
      <w:r w:rsidRPr="00F852AE">
        <w:rPr>
          <w:rFonts w:ascii="Candara" w:hAnsi="Candara"/>
        </w:rPr>
        <w:t>When a permit is revoked and re</w:t>
      </w:r>
      <w:r>
        <w:rPr>
          <w:rFonts w:ascii="Candara" w:hAnsi="Candara"/>
        </w:rPr>
        <w:t>-</w:t>
      </w:r>
      <w:r w:rsidRPr="00F852AE">
        <w:rPr>
          <w:rFonts w:ascii="Candara" w:hAnsi="Candara"/>
        </w:rPr>
        <w:t>issued under this section</w:t>
      </w:r>
      <w:r w:rsidR="009D64FA">
        <w:rPr>
          <w:rFonts w:ascii="Candara" w:hAnsi="Candara"/>
        </w:rPr>
        <w:t xml:space="preserve"> a)</w:t>
      </w:r>
      <w:r w:rsidRPr="00F852AE">
        <w:rPr>
          <w:rFonts w:ascii="Candara" w:hAnsi="Candara"/>
        </w:rPr>
        <w:t xml:space="preserve">, </w:t>
      </w:r>
      <w:r w:rsidRPr="00F852AE">
        <w:rPr>
          <w:rFonts w:ascii="Candara" w:hAnsi="Candara"/>
        </w:rPr>
        <w:lastRenderedPageBreak/>
        <w:t>the entire permit is reopened just as if the permit had expired and was being re</w:t>
      </w:r>
      <w:r w:rsidR="0007378A">
        <w:rPr>
          <w:rFonts w:ascii="Candara" w:hAnsi="Candara"/>
        </w:rPr>
        <w:t>-</w:t>
      </w:r>
      <w:r w:rsidRPr="00F852AE">
        <w:rPr>
          <w:rFonts w:ascii="Candara" w:hAnsi="Candara"/>
        </w:rPr>
        <w:t>issued. During any revocation and re</w:t>
      </w:r>
      <w:r>
        <w:rPr>
          <w:rFonts w:ascii="Candara" w:hAnsi="Candara"/>
        </w:rPr>
        <w:t>-</w:t>
      </w:r>
      <w:r w:rsidRPr="00F852AE">
        <w:rPr>
          <w:rFonts w:ascii="Candara" w:hAnsi="Candara"/>
        </w:rPr>
        <w:t xml:space="preserve">issuance </w:t>
      </w:r>
      <w:proofErr w:type="gramStart"/>
      <w:r w:rsidRPr="00F852AE">
        <w:rPr>
          <w:rFonts w:ascii="Candara" w:hAnsi="Candara"/>
        </w:rPr>
        <w:t>proceeding</w:t>
      </w:r>
      <w:proofErr w:type="gramEnd"/>
      <w:r w:rsidRPr="00F852AE">
        <w:rPr>
          <w:rFonts w:ascii="Candara" w:hAnsi="Candara"/>
        </w:rPr>
        <w:t xml:space="preserve"> the permittee shall comply with all conditions of the existing permit until a new final permit is re</w:t>
      </w:r>
      <w:r w:rsidR="0007378A">
        <w:rPr>
          <w:rFonts w:ascii="Candara" w:hAnsi="Candara"/>
        </w:rPr>
        <w:t>-</w:t>
      </w:r>
      <w:r w:rsidRPr="00F852AE">
        <w:rPr>
          <w:rFonts w:ascii="Candara" w:hAnsi="Candara"/>
        </w:rPr>
        <w:t>issued.</w:t>
      </w:r>
      <w:r w:rsidR="0007378A">
        <w:rPr>
          <w:rFonts w:ascii="Candara" w:hAnsi="Candara"/>
        </w:rPr>
        <w:tab/>
        <w:t>40 CFR 124.5(c</w:t>
      </w:r>
      <w:proofErr w:type="gramStart"/>
      <w:r w:rsidR="0007378A">
        <w:rPr>
          <w:rFonts w:ascii="Candara" w:hAnsi="Candara"/>
        </w:rPr>
        <w:t>)(</w:t>
      </w:r>
      <w:proofErr w:type="gramEnd"/>
      <w:r w:rsidR="0007378A">
        <w:rPr>
          <w:rFonts w:ascii="Candara" w:hAnsi="Candara"/>
        </w:rPr>
        <w:t>2)</w:t>
      </w:r>
    </w:p>
    <w:p w:rsidR="00F852AE" w:rsidRPr="00ED0CE9" w:rsidRDefault="00F852AE" w:rsidP="00873F8F">
      <w:pPr>
        <w:spacing w:before="120"/>
        <w:ind w:left="360"/>
        <w:jc w:val="both"/>
        <w:rPr>
          <w:rFonts w:ascii="Candara" w:hAnsi="Candara"/>
        </w:rPr>
      </w:pPr>
    </w:p>
    <w:p w:rsidR="00084FDC" w:rsidRPr="00ED0CE9" w:rsidRDefault="00084FDC" w:rsidP="00A609C2">
      <w:pPr>
        <w:numPr>
          <w:ilvl w:val="3"/>
          <w:numId w:val="2"/>
        </w:numPr>
        <w:tabs>
          <w:tab w:val="right" w:pos="10800"/>
        </w:tabs>
        <w:spacing w:before="120"/>
        <w:ind w:left="432"/>
        <w:jc w:val="both"/>
        <w:rPr>
          <w:rFonts w:ascii="Candara" w:hAnsi="Candara"/>
        </w:rPr>
      </w:pPr>
      <w:r w:rsidRPr="00ED0CE9">
        <w:rPr>
          <w:rFonts w:ascii="Candara" w:hAnsi="Candara"/>
        </w:rPr>
        <w:t>Termination of Permit</w:t>
      </w:r>
      <w:r w:rsidR="002A1B1B">
        <w:rPr>
          <w:rFonts w:ascii="Candara" w:hAnsi="Candara"/>
        </w:rPr>
        <w:tab/>
        <w:t>40 CFR 144.40</w:t>
      </w:r>
    </w:p>
    <w:p w:rsidR="00084FDC" w:rsidRPr="00ED0CE9" w:rsidRDefault="00084FDC" w:rsidP="00A609C2">
      <w:pPr>
        <w:numPr>
          <w:ilvl w:val="4"/>
          <w:numId w:val="2"/>
        </w:numPr>
        <w:spacing w:before="120"/>
        <w:ind w:left="900"/>
        <w:jc w:val="both"/>
        <w:rPr>
          <w:rFonts w:ascii="Candara" w:hAnsi="Candara"/>
        </w:rPr>
      </w:pPr>
      <w:r w:rsidRPr="00ED0CE9">
        <w:rPr>
          <w:rFonts w:ascii="Candara" w:hAnsi="Candara"/>
        </w:rPr>
        <w:t>The Director may terminate a permit during its term, or deny a permit renewal application for the following causes:</w:t>
      </w:r>
    </w:p>
    <w:p w:rsidR="00084FDC" w:rsidRPr="00ED0CE9" w:rsidRDefault="00084FDC" w:rsidP="00A609C2">
      <w:pPr>
        <w:numPr>
          <w:ilvl w:val="5"/>
          <w:numId w:val="2"/>
        </w:numPr>
        <w:spacing w:before="120"/>
        <w:ind w:left="1080"/>
        <w:jc w:val="both"/>
        <w:rPr>
          <w:rFonts w:ascii="Candara" w:hAnsi="Candara"/>
        </w:rPr>
      </w:pPr>
      <w:r w:rsidRPr="00ED0CE9">
        <w:rPr>
          <w:rFonts w:ascii="Candara" w:hAnsi="Candara"/>
        </w:rPr>
        <w:t>Noncompliance by the permittee with any condition of the permit;</w:t>
      </w:r>
    </w:p>
    <w:p w:rsidR="00084FDC" w:rsidRPr="00ED0CE9" w:rsidRDefault="00084FDC" w:rsidP="00A609C2">
      <w:pPr>
        <w:numPr>
          <w:ilvl w:val="5"/>
          <w:numId w:val="2"/>
        </w:numPr>
        <w:spacing w:before="120"/>
        <w:ind w:left="1080"/>
        <w:jc w:val="both"/>
        <w:rPr>
          <w:rFonts w:ascii="Candara" w:hAnsi="Candara"/>
        </w:rPr>
      </w:pPr>
      <w:r w:rsidRPr="00ED0CE9">
        <w:rPr>
          <w:rFonts w:ascii="Candara" w:hAnsi="Candara"/>
        </w:rPr>
        <w:t xml:space="preserve">The </w:t>
      </w:r>
      <w:proofErr w:type="spellStart"/>
      <w:r w:rsidRPr="00ED0CE9">
        <w:rPr>
          <w:rFonts w:ascii="Candara" w:hAnsi="Candara"/>
        </w:rPr>
        <w:t>permittee's</w:t>
      </w:r>
      <w:proofErr w:type="spellEnd"/>
      <w:r w:rsidRPr="00ED0CE9">
        <w:rPr>
          <w:rFonts w:ascii="Candara" w:hAnsi="Candara"/>
        </w:rPr>
        <w:t xml:space="preserve"> failure in the application or during the permit issuance process to disclose fully all relevant facts, or the </w:t>
      </w:r>
      <w:proofErr w:type="spellStart"/>
      <w:r w:rsidRPr="00ED0CE9">
        <w:rPr>
          <w:rFonts w:ascii="Candara" w:hAnsi="Candara"/>
        </w:rPr>
        <w:t>permittee's</w:t>
      </w:r>
      <w:proofErr w:type="spellEnd"/>
      <w:r w:rsidRPr="00ED0CE9">
        <w:rPr>
          <w:rFonts w:ascii="Candara" w:hAnsi="Candara"/>
        </w:rPr>
        <w:t xml:space="preserve"> misrepresentation of any relevant facts at any time; or</w:t>
      </w:r>
    </w:p>
    <w:p w:rsidR="00084FDC" w:rsidRPr="00ED0CE9" w:rsidRDefault="00084FDC" w:rsidP="00A609C2">
      <w:pPr>
        <w:numPr>
          <w:ilvl w:val="5"/>
          <w:numId w:val="2"/>
        </w:numPr>
        <w:spacing w:before="120"/>
        <w:ind w:left="1080"/>
        <w:jc w:val="both"/>
        <w:rPr>
          <w:rFonts w:ascii="Candara" w:hAnsi="Candara"/>
        </w:rPr>
      </w:pPr>
      <w:r w:rsidRPr="00ED0CE9">
        <w:rPr>
          <w:rFonts w:ascii="Candara" w:hAnsi="Candara"/>
        </w:rPr>
        <w:t>A determination that the permitted activity endangers human health or the environment and can only be regulated to acceptable levels by permit modification or termination;</w:t>
      </w:r>
    </w:p>
    <w:p w:rsidR="00084FDC" w:rsidRDefault="00084FDC" w:rsidP="00A609C2">
      <w:pPr>
        <w:numPr>
          <w:ilvl w:val="4"/>
          <w:numId w:val="2"/>
        </w:numPr>
        <w:spacing w:before="120"/>
        <w:ind w:left="900"/>
        <w:jc w:val="both"/>
        <w:rPr>
          <w:rFonts w:ascii="Candara" w:hAnsi="Candara"/>
        </w:rPr>
      </w:pPr>
      <w:r w:rsidRPr="00ED0CE9">
        <w:rPr>
          <w:rFonts w:ascii="Candara" w:hAnsi="Candara"/>
        </w:rPr>
        <w:t>The Director shall follow the applicable procedures in 40 CFR 124 in terminating any permit under this section</w:t>
      </w:r>
      <w:r w:rsidR="009D64FA">
        <w:rPr>
          <w:rFonts w:ascii="Candara" w:hAnsi="Candara"/>
        </w:rPr>
        <w:t xml:space="preserve"> b)</w:t>
      </w:r>
      <w:r w:rsidRPr="00ED0CE9">
        <w:rPr>
          <w:rFonts w:ascii="Candara" w:hAnsi="Candara"/>
        </w:rPr>
        <w:t>.</w:t>
      </w:r>
    </w:p>
    <w:p w:rsidR="0007378A" w:rsidRDefault="0007378A" w:rsidP="00193ECA">
      <w:pPr>
        <w:tabs>
          <w:tab w:val="right" w:pos="10800"/>
        </w:tabs>
        <w:spacing w:before="120"/>
        <w:ind w:left="540"/>
        <w:jc w:val="both"/>
        <w:rPr>
          <w:rFonts w:ascii="Candara" w:hAnsi="Candara"/>
        </w:rPr>
      </w:pPr>
      <w:r w:rsidRPr="0007378A">
        <w:rPr>
          <w:rFonts w:ascii="Candara" w:hAnsi="Candara"/>
        </w:rPr>
        <w:t>If the Director te</w:t>
      </w:r>
      <w:r>
        <w:rPr>
          <w:rFonts w:ascii="Candara" w:hAnsi="Candara"/>
        </w:rPr>
        <w:t>ntatively decides to terminate a</w:t>
      </w:r>
      <w:r w:rsidRPr="0007378A">
        <w:rPr>
          <w:rFonts w:ascii="Candara" w:hAnsi="Candara"/>
        </w:rPr>
        <w:t xml:space="preserve"> permit under </w:t>
      </w:r>
      <w:r>
        <w:rPr>
          <w:rFonts w:ascii="Candara" w:hAnsi="Candara"/>
        </w:rPr>
        <w:t xml:space="preserve">this section b) </w:t>
      </w:r>
      <w:r w:rsidRPr="0007378A">
        <w:rPr>
          <w:rFonts w:ascii="Candara" w:hAnsi="Candara"/>
        </w:rPr>
        <w:t xml:space="preserve">where the permittee objects, </w:t>
      </w:r>
      <w:r>
        <w:rPr>
          <w:rFonts w:ascii="Candara" w:hAnsi="Candara"/>
        </w:rPr>
        <w:t>the Director</w:t>
      </w:r>
      <w:r w:rsidRPr="0007378A">
        <w:rPr>
          <w:rFonts w:ascii="Candara" w:hAnsi="Candara"/>
        </w:rPr>
        <w:t xml:space="preserve"> shall issue a notice of intent to terminate. </w:t>
      </w:r>
      <w:r>
        <w:rPr>
          <w:rFonts w:ascii="Candara" w:hAnsi="Candara"/>
        </w:rPr>
        <w:t xml:space="preserve"> </w:t>
      </w:r>
      <w:r w:rsidRPr="0007378A">
        <w:rPr>
          <w:rFonts w:ascii="Candara" w:hAnsi="Candara"/>
        </w:rPr>
        <w:t xml:space="preserve">A notice of intent to terminate is a type of draft permit which follows the same procedures as any draft permit prepared under </w:t>
      </w:r>
      <w:r>
        <w:rPr>
          <w:rFonts w:ascii="Candara" w:hAnsi="Candara"/>
        </w:rPr>
        <w:t>40 CFR</w:t>
      </w:r>
      <w:r w:rsidR="00290C89">
        <w:rPr>
          <w:rFonts w:ascii="Candara" w:hAnsi="Candara"/>
        </w:rPr>
        <w:t xml:space="preserve"> </w:t>
      </w:r>
      <w:r w:rsidRPr="0007378A">
        <w:rPr>
          <w:rFonts w:ascii="Candara" w:hAnsi="Candara"/>
        </w:rPr>
        <w:t>124.6.</w:t>
      </w:r>
      <w:r>
        <w:rPr>
          <w:rFonts w:ascii="Candara" w:hAnsi="Candara"/>
        </w:rPr>
        <w:tab/>
        <w:t>40 CFR 124.5(d</w:t>
      </w:r>
      <w:proofErr w:type="gramStart"/>
      <w:r>
        <w:rPr>
          <w:rFonts w:ascii="Candara" w:hAnsi="Candara"/>
        </w:rPr>
        <w:t>)(</w:t>
      </w:r>
      <w:proofErr w:type="gramEnd"/>
      <w:r>
        <w:rPr>
          <w:rFonts w:ascii="Candara" w:hAnsi="Candara"/>
        </w:rPr>
        <w:t>1)</w:t>
      </w:r>
    </w:p>
    <w:p w:rsidR="009F0A75" w:rsidRPr="00ED0CE9" w:rsidRDefault="009F0A75" w:rsidP="0007378A">
      <w:pPr>
        <w:tabs>
          <w:tab w:val="right" w:pos="10800"/>
        </w:tabs>
        <w:spacing w:before="120"/>
        <w:ind w:left="1080"/>
        <w:jc w:val="both"/>
        <w:rPr>
          <w:rFonts w:ascii="Candara" w:hAnsi="Candara"/>
        </w:rPr>
      </w:pPr>
    </w:p>
    <w:p w:rsidR="00084FDC" w:rsidRPr="00ED0CE9" w:rsidRDefault="00084FDC" w:rsidP="00A609C2">
      <w:pPr>
        <w:numPr>
          <w:ilvl w:val="3"/>
          <w:numId w:val="2"/>
        </w:numPr>
        <w:tabs>
          <w:tab w:val="right" w:pos="10800"/>
        </w:tabs>
        <w:spacing w:before="120"/>
        <w:ind w:left="432"/>
        <w:jc w:val="both"/>
        <w:rPr>
          <w:rFonts w:ascii="Candara" w:hAnsi="Candara"/>
        </w:rPr>
      </w:pPr>
      <w:r w:rsidRPr="00ED0CE9">
        <w:rPr>
          <w:rFonts w:ascii="Candara" w:hAnsi="Candara"/>
        </w:rPr>
        <w:t>Minor Modification of Permit</w:t>
      </w:r>
      <w:r w:rsidR="002A1B1B">
        <w:rPr>
          <w:rFonts w:ascii="Candara" w:hAnsi="Candara"/>
        </w:rPr>
        <w:tab/>
        <w:t>40 CFR 144.41</w:t>
      </w:r>
    </w:p>
    <w:p w:rsidR="00084FDC" w:rsidRPr="00ED0CE9" w:rsidRDefault="00084FDC" w:rsidP="00193ECA">
      <w:pPr>
        <w:spacing w:before="120"/>
        <w:ind w:left="450"/>
        <w:jc w:val="both"/>
        <w:rPr>
          <w:rFonts w:ascii="Candara" w:hAnsi="Candara"/>
        </w:rPr>
      </w:pPr>
      <w:r w:rsidRPr="00ED0CE9">
        <w:rPr>
          <w:rFonts w:ascii="Candara" w:hAnsi="Candara"/>
        </w:rPr>
        <w:t>Upon the consent of the permittee, the Director may modify a permit to make the corrections or allowances for changes in the permitted activity listed in this section</w:t>
      </w:r>
      <w:r w:rsidR="009D64FA">
        <w:rPr>
          <w:rFonts w:ascii="Candara" w:hAnsi="Candara"/>
        </w:rPr>
        <w:t xml:space="preserve"> c)</w:t>
      </w:r>
      <w:r w:rsidRPr="00ED0CE9">
        <w:rPr>
          <w:rFonts w:ascii="Candara" w:hAnsi="Candara"/>
        </w:rPr>
        <w:t>, without following the procedures of 40 CFR 124.  Any permit modification not processed as a minor modification under this section</w:t>
      </w:r>
      <w:r w:rsidR="009D64FA">
        <w:rPr>
          <w:rFonts w:ascii="Candara" w:hAnsi="Candara"/>
        </w:rPr>
        <w:t xml:space="preserve"> c)</w:t>
      </w:r>
      <w:r w:rsidRPr="00ED0CE9">
        <w:rPr>
          <w:rFonts w:ascii="Candara" w:hAnsi="Candara"/>
        </w:rPr>
        <w:t xml:space="preserve"> must be made for cause and with 40 CFR 124 draft permit and public notice as required in section a).  Minor modifications may only:</w:t>
      </w:r>
    </w:p>
    <w:p w:rsidR="00084FDC" w:rsidRPr="00ED0CE9" w:rsidRDefault="00084FDC" w:rsidP="00A609C2">
      <w:pPr>
        <w:numPr>
          <w:ilvl w:val="4"/>
          <w:numId w:val="2"/>
        </w:numPr>
        <w:spacing w:before="120"/>
        <w:ind w:left="900"/>
        <w:jc w:val="both"/>
        <w:rPr>
          <w:rFonts w:ascii="Candara" w:hAnsi="Candara"/>
        </w:rPr>
      </w:pPr>
      <w:r w:rsidRPr="00ED0CE9">
        <w:rPr>
          <w:rFonts w:ascii="Candara" w:hAnsi="Candara"/>
        </w:rPr>
        <w:t>Correct typographical errors;</w:t>
      </w:r>
    </w:p>
    <w:p w:rsidR="00084FDC" w:rsidRPr="00ED0CE9" w:rsidRDefault="00084FDC" w:rsidP="00A609C2">
      <w:pPr>
        <w:numPr>
          <w:ilvl w:val="4"/>
          <w:numId w:val="2"/>
        </w:numPr>
        <w:spacing w:before="120"/>
        <w:ind w:left="900"/>
        <w:jc w:val="both"/>
        <w:rPr>
          <w:rFonts w:ascii="Candara" w:hAnsi="Candara"/>
        </w:rPr>
      </w:pPr>
      <w:r w:rsidRPr="00ED0CE9">
        <w:rPr>
          <w:rFonts w:ascii="Candara" w:hAnsi="Candara"/>
        </w:rPr>
        <w:t>Require more frequent monitoring or reporting by the permittee;</w:t>
      </w:r>
    </w:p>
    <w:p w:rsidR="00084FDC" w:rsidRPr="00ED0CE9" w:rsidRDefault="00084FDC" w:rsidP="00A609C2">
      <w:pPr>
        <w:numPr>
          <w:ilvl w:val="4"/>
          <w:numId w:val="2"/>
        </w:numPr>
        <w:spacing w:before="120"/>
        <w:ind w:left="900"/>
        <w:jc w:val="both"/>
        <w:rPr>
          <w:rFonts w:ascii="Candara" w:hAnsi="Candara"/>
        </w:rPr>
      </w:pPr>
      <w:r w:rsidRPr="00ED0CE9">
        <w:rPr>
          <w:rFonts w:ascii="Candara" w:hAnsi="Candara"/>
        </w:rPr>
        <w:t>Change an interim compliance date in a schedule of compliance, provided the new date is not more than 120 days after the date specified in the existing permit and does not interfere with attainment of the final compliance date requirement; or</w:t>
      </w:r>
    </w:p>
    <w:p w:rsidR="00084FDC" w:rsidRPr="00ED0CE9" w:rsidRDefault="00084FDC" w:rsidP="00A609C2">
      <w:pPr>
        <w:numPr>
          <w:ilvl w:val="4"/>
          <w:numId w:val="2"/>
        </w:numPr>
        <w:spacing w:before="120"/>
        <w:ind w:left="900"/>
        <w:jc w:val="both"/>
        <w:rPr>
          <w:rFonts w:ascii="Candara" w:hAnsi="Candara"/>
        </w:rPr>
      </w:pPr>
      <w:r w:rsidRPr="00ED0CE9">
        <w:rPr>
          <w:rFonts w:ascii="Candara" w:hAnsi="Candara"/>
        </w:rPr>
        <w:t>Allow for a change in ownership or operational control of a facility where the Director determines that no other change in the permit is necessary, provided that a written agreement containing a specific date for transfer of permit responsibility, coverage, and liability betwee</w:t>
      </w:r>
      <w:r w:rsidR="00A947C0">
        <w:rPr>
          <w:rFonts w:ascii="Candara" w:hAnsi="Candara"/>
        </w:rPr>
        <w:t>n the current and new permittee</w:t>
      </w:r>
      <w:r w:rsidRPr="00ED0CE9">
        <w:rPr>
          <w:rFonts w:ascii="Candara" w:hAnsi="Candara"/>
        </w:rPr>
        <w:t xml:space="preserve"> has been submitted to the Director.</w:t>
      </w:r>
    </w:p>
    <w:p w:rsidR="00084FDC" w:rsidRPr="00ED0CE9" w:rsidRDefault="00084FDC" w:rsidP="00A609C2">
      <w:pPr>
        <w:numPr>
          <w:ilvl w:val="4"/>
          <w:numId w:val="2"/>
        </w:numPr>
        <w:spacing w:before="120"/>
        <w:ind w:left="900"/>
        <w:jc w:val="both"/>
        <w:rPr>
          <w:rFonts w:ascii="Candara" w:hAnsi="Candara"/>
        </w:rPr>
      </w:pPr>
      <w:r w:rsidRPr="00ED0CE9">
        <w:rPr>
          <w:rFonts w:ascii="Candara" w:hAnsi="Candara"/>
        </w:rPr>
        <w:t>Change quantities or types of fluids injected which are within the capacity of the facility as permitted and, in the judgment of the Director, would not interfere with the operation of the facility or its ability to meet conditions described in the permit and would not change its classification.</w:t>
      </w:r>
    </w:p>
    <w:p w:rsidR="00084FDC" w:rsidRPr="00ED0CE9" w:rsidRDefault="00084FDC" w:rsidP="00A609C2">
      <w:pPr>
        <w:numPr>
          <w:ilvl w:val="4"/>
          <w:numId w:val="2"/>
        </w:numPr>
        <w:spacing w:before="120"/>
        <w:ind w:left="900"/>
        <w:jc w:val="both"/>
        <w:rPr>
          <w:rFonts w:ascii="Candara" w:hAnsi="Candara"/>
        </w:rPr>
      </w:pPr>
      <w:r w:rsidRPr="00ED0CE9">
        <w:rPr>
          <w:rFonts w:ascii="Candara" w:hAnsi="Candara"/>
        </w:rPr>
        <w:lastRenderedPageBreak/>
        <w:t>Change construction requirements approved by the Director pursuant to 40 CFR 144.52(a</w:t>
      </w:r>
      <w:proofErr w:type="gramStart"/>
      <w:r w:rsidRPr="00ED0CE9">
        <w:rPr>
          <w:rFonts w:ascii="Candara" w:hAnsi="Candara"/>
        </w:rPr>
        <w:t>)(</w:t>
      </w:r>
      <w:proofErr w:type="gramEnd"/>
      <w:r w:rsidRPr="00ED0CE9">
        <w:rPr>
          <w:rFonts w:ascii="Candara" w:hAnsi="Candara"/>
        </w:rPr>
        <w:t>1) (establishing UIC permit conditions), provided that any such alteration shall comply with the requirements of 40 CFR 144 and 40 CFR 146.</w:t>
      </w:r>
    </w:p>
    <w:p w:rsidR="00084FDC" w:rsidRDefault="00084FDC" w:rsidP="00A609C2">
      <w:pPr>
        <w:numPr>
          <w:ilvl w:val="4"/>
          <w:numId w:val="2"/>
        </w:numPr>
        <w:spacing w:before="120"/>
        <w:ind w:left="900"/>
        <w:jc w:val="both"/>
        <w:rPr>
          <w:rFonts w:ascii="Candara" w:hAnsi="Candara"/>
        </w:rPr>
      </w:pPr>
      <w:r w:rsidRPr="00ED0CE9">
        <w:rPr>
          <w:rFonts w:ascii="Candara" w:hAnsi="Candara"/>
        </w:rPr>
        <w:t>Amend a plugging and abandonment plan which has been updated.</w:t>
      </w:r>
    </w:p>
    <w:p w:rsidR="009F0A75" w:rsidRPr="00ED0CE9" w:rsidRDefault="009F0A75" w:rsidP="009F0A75">
      <w:pPr>
        <w:spacing w:before="120"/>
        <w:ind w:left="1440"/>
        <w:jc w:val="both"/>
        <w:rPr>
          <w:rFonts w:ascii="Candara" w:hAnsi="Candara"/>
        </w:rPr>
      </w:pPr>
    </w:p>
    <w:p w:rsidR="00084FDC" w:rsidRPr="00ED0CE9" w:rsidRDefault="00084FDC" w:rsidP="00A609C2">
      <w:pPr>
        <w:numPr>
          <w:ilvl w:val="3"/>
          <w:numId w:val="2"/>
        </w:numPr>
        <w:tabs>
          <w:tab w:val="right" w:pos="10800"/>
        </w:tabs>
        <w:spacing w:before="120"/>
        <w:ind w:left="432"/>
        <w:jc w:val="both"/>
        <w:rPr>
          <w:rFonts w:ascii="Candara" w:hAnsi="Candara"/>
        </w:rPr>
      </w:pPr>
      <w:r w:rsidRPr="00ED0CE9">
        <w:rPr>
          <w:rFonts w:ascii="Candara" w:hAnsi="Candara"/>
        </w:rPr>
        <w:t>Transfer of Permit</w:t>
      </w:r>
      <w:r w:rsidR="00F873FA">
        <w:rPr>
          <w:rFonts w:ascii="Candara" w:hAnsi="Candara"/>
        </w:rPr>
        <w:tab/>
        <w:t>40 CFR 144.38 and 144.52(a)(7)</w:t>
      </w:r>
    </w:p>
    <w:p w:rsidR="00084FDC" w:rsidRPr="00ED0CE9" w:rsidRDefault="00084FDC" w:rsidP="00A609C2">
      <w:pPr>
        <w:numPr>
          <w:ilvl w:val="4"/>
          <w:numId w:val="2"/>
        </w:numPr>
        <w:spacing w:before="120"/>
        <w:ind w:left="900"/>
        <w:jc w:val="both"/>
        <w:rPr>
          <w:rFonts w:ascii="Candara" w:hAnsi="Candara"/>
        </w:rPr>
      </w:pPr>
      <w:r w:rsidRPr="00ED0CE9">
        <w:rPr>
          <w:rFonts w:ascii="Candara" w:hAnsi="Candara"/>
        </w:rPr>
        <w:t>Transfers by Modification.  Except as provided in paragraph (2) of this section</w:t>
      </w:r>
      <w:r w:rsidR="009D64FA">
        <w:rPr>
          <w:rFonts w:ascii="Candara" w:hAnsi="Candara"/>
        </w:rPr>
        <w:t xml:space="preserve"> d)</w:t>
      </w:r>
      <w:r w:rsidRPr="00ED0CE9">
        <w:rPr>
          <w:rFonts w:ascii="Candara" w:hAnsi="Candara"/>
        </w:rPr>
        <w:t>, a permit may be transferred by the permittee to a new owner or operator only if the permit has been modified or revoked and re</w:t>
      </w:r>
      <w:r w:rsidR="002C707E">
        <w:rPr>
          <w:rFonts w:ascii="Candara" w:hAnsi="Candara"/>
        </w:rPr>
        <w:t>-</w:t>
      </w:r>
      <w:r w:rsidRPr="00ED0CE9">
        <w:rPr>
          <w:rFonts w:ascii="Candara" w:hAnsi="Candara"/>
        </w:rPr>
        <w:t>issued (under paragraph (2</w:t>
      </w:r>
      <w:proofErr w:type="gramStart"/>
      <w:r w:rsidRPr="00ED0CE9">
        <w:rPr>
          <w:rFonts w:ascii="Candara" w:hAnsi="Candara"/>
        </w:rPr>
        <w:t>)(</w:t>
      </w:r>
      <w:proofErr w:type="gramEnd"/>
      <w:r w:rsidRPr="00ED0CE9">
        <w:rPr>
          <w:rFonts w:ascii="Candara" w:hAnsi="Candara"/>
        </w:rPr>
        <w:t>ii) under section a)), or a minor modification made (under paragraph (4) of section c)) to identify the new permittee and incorporate such other requirements as may be necessary under the Safe Drinking Water Act.</w:t>
      </w:r>
    </w:p>
    <w:p w:rsidR="00084FDC" w:rsidRPr="00ED0CE9" w:rsidRDefault="00084FDC" w:rsidP="00A609C2">
      <w:pPr>
        <w:numPr>
          <w:ilvl w:val="4"/>
          <w:numId w:val="2"/>
        </w:numPr>
        <w:spacing w:before="120"/>
        <w:ind w:left="900"/>
        <w:jc w:val="both"/>
        <w:rPr>
          <w:rFonts w:ascii="Candara" w:hAnsi="Candara"/>
        </w:rPr>
      </w:pPr>
      <w:r w:rsidRPr="00ED0CE9">
        <w:rPr>
          <w:rFonts w:ascii="Candara" w:hAnsi="Candara"/>
        </w:rPr>
        <w:t>Automatic Transfers.  As an alternative to transfers under paragraph (1) of this section</w:t>
      </w:r>
      <w:r w:rsidR="00D10ED2">
        <w:rPr>
          <w:rFonts w:ascii="Candara" w:hAnsi="Candara"/>
        </w:rPr>
        <w:t xml:space="preserve"> d)</w:t>
      </w:r>
      <w:r w:rsidRPr="00ED0CE9">
        <w:rPr>
          <w:rFonts w:ascii="Candara" w:hAnsi="Candara"/>
        </w:rPr>
        <w:t xml:space="preserve">, any UIC permit for a well not injecting hazardous waste </w:t>
      </w:r>
      <w:r w:rsidR="002C707E">
        <w:rPr>
          <w:rFonts w:ascii="Candara" w:hAnsi="Candara"/>
        </w:rPr>
        <w:t xml:space="preserve">[Class I Hazardous] </w:t>
      </w:r>
      <w:r w:rsidRPr="00ED0CE9">
        <w:rPr>
          <w:rFonts w:ascii="Candara" w:hAnsi="Candara"/>
        </w:rPr>
        <w:t xml:space="preserve">or injecting carbon dioxide for geologic sequestration </w:t>
      </w:r>
      <w:r w:rsidR="002C707E">
        <w:rPr>
          <w:rFonts w:ascii="Candara" w:hAnsi="Candara"/>
        </w:rPr>
        <w:t xml:space="preserve">[Class VI] </w:t>
      </w:r>
      <w:r w:rsidRPr="00ED0CE9">
        <w:rPr>
          <w:rFonts w:ascii="Candara" w:hAnsi="Candara"/>
        </w:rPr>
        <w:t>may be automatically transferred to a new permittee if:</w:t>
      </w:r>
    </w:p>
    <w:p w:rsidR="00084FDC" w:rsidRPr="00ED0CE9" w:rsidRDefault="00084FDC" w:rsidP="00A609C2">
      <w:pPr>
        <w:numPr>
          <w:ilvl w:val="5"/>
          <w:numId w:val="2"/>
        </w:numPr>
        <w:spacing w:before="120"/>
        <w:ind w:left="1080"/>
        <w:jc w:val="both"/>
        <w:rPr>
          <w:rFonts w:ascii="Candara" w:hAnsi="Candara"/>
        </w:rPr>
      </w:pPr>
      <w:r w:rsidRPr="00ED0CE9">
        <w:rPr>
          <w:rFonts w:ascii="Candara" w:hAnsi="Candara"/>
        </w:rPr>
        <w:t>The current permittee notifies the Director at least 30 days in advance of the proposed transfer date referred to in paragraph (2)(ii) of this section</w:t>
      </w:r>
      <w:r w:rsidR="00D10ED2">
        <w:rPr>
          <w:rFonts w:ascii="Candara" w:hAnsi="Candara"/>
        </w:rPr>
        <w:t xml:space="preserve"> d)</w:t>
      </w:r>
      <w:r w:rsidRPr="00ED0CE9">
        <w:rPr>
          <w:rFonts w:ascii="Candara" w:hAnsi="Candara"/>
        </w:rPr>
        <w:t>;</w:t>
      </w:r>
      <w:r w:rsidR="009D64FA">
        <w:rPr>
          <w:rFonts w:ascii="Candara" w:hAnsi="Candara"/>
        </w:rPr>
        <w:t xml:space="preserve"> </w:t>
      </w:r>
      <w:r w:rsidR="009D64FA" w:rsidRPr="009D64FA">
        <w:rPr>
          <w:rFonts w:ascii="Candara" w:hAnsi="Candara"/>
          <w:b/>
        </w:rPr>
        <w:t>and</w:t>
      </w:r>
    </w:p>
    <w:p w:rsidR="00084FDC" w:rsidRPr="00ED0CE9" w:rsidRDefault="00084FDC" w:rsidP="00A609C2">
      <w:pPr>
        <w:numPr>
          <w:ilvl w:val="5"/>
          <w:numId w:val="2"/>
        </w:numPr>
        <w:spacing w:before="120"/>
        <w:ind w:left="1080"/>
        <w:jc w:val="both"/>
        <w:rPr>
          <w:rFonts w:ascii="Candara" w:hAnsi="Candara"/>
        </w:rPr>
      </w:pPr>
      <w:r w:rsidRPr="00ED0CE9">
        <w:rPr>
          <w:rFonts w:ascii="Candara" w:hAnsi="Candara"/>
        </w:rPr>
        <w:t>The notice includes a written agreement between</w:t>
      </w:r>
      <w:r w:rsidR="00D10ED2">
        <w:rPr>
          <w:rFonts w:ascii="Candara" w:hAnsi="Candara"/>
        </w:rPr>
        <w:t xml:space="preserve"> the existing and new permittee</w:t>
      </w:r>
      <w:r w:rsidRPr="00ED0CE9">
        <w:rPr>
          <w:rFonts w:ascii="Candara" w:hAnsi="Candara"/>
        </w:rPr>
        <w:t xml:space="preserve"> containing a specific date for transfer of permit responsibility, coverage, and liability between them, and the notice demonstrates that the following financial responsibility requirements of 40 CFR 144.52(a)(7) w</w:t>
      </w:r>
      <w:r w:rsidR="00CF401A">
        <w:rPr>
          <w:rFonts w:ascii="Candara" w:hAnsi="Candara"/>
        </w:rPr>
        <w:t xml:space="preserve">ill be met by the new permittee; </w:t>
      </w:r>
      <w:r w:rsidR="00CF401A" w:rsidRPr="00CF401A">
        <w:rPr>
          <w:rFonts w:ascii="Candara" w:hAnsi="Candara"/>
          <w:b/>
        </w:rPr>
        <w:t>and</w:t>
      </w:r>
    </w:p>
    <w:p w:rsidR="00CF401A" w:rsidRDefault="00084FDC" w:rsidP="00A609C2">
      <w:pPr>
        <w:pStyle w:val="ListParagraph"/>
        <w:numPr>
          <w:ilvl w:val="0"/>
          <w:numId w:val="6"/>
        </w:numPr>
        <w:spacing w:before="120"/>
        <w:jc w:val="both"/>
        <w:rPr>
          <w:rFonts w:ascii="Candara" w:hAnsi="Candara"/>
        </w:rPr>
      </w:pPr>
      <w:r w:rsidRPr="00ED0CE9">
        <w:rPr>
          <w:rFonts w:ascii="Candara" w:hAnsi="Candara"/>
        </w:rPr>
        <w:t>The permittee, including the transferor of a permit, is required to demonstrate and maintain financial responsibility and resources to close, plug, and abandon the underground injection operation in a manner prescribed by the Director until:</w:t>
      </w:r>
    </w:p>
    <w:p w:rsidR="00084FDC" w:rsidRPr="00CF401A" w:rsidRDefault="00131431" w:rsidP="00131431">
      <w:pPr>
        <w:tabs>
          <w:tab w:val="right" w:pos="10800"/>
        </w:tabs>
        <w:spacing w:before="120"/>
        <w:ind w:left="1260"/>
        <w:jc w:val="both"/>
        <w:rPr>
          <w:rFonts w:ascii="Candara" w:hAnsi="Candara"/>
        </w:rPr>
      </w:pPr>
      <w:r>
        <w:rPr>
          <w:rFonts w:ascii="Candara" w:hAnsi="Candara"/>
        </w:rPr>
        <w:tab/>
      </w:r>
      <w:r w:rsidR="00CF401A" w:rsidRPr="00CF401A">
        <w:rPr>
          <w:rFonts w:ascii="Candara" w:hAnsi="Candara"/>
        </w:rPr>
        <w:t>40 CFR 144.52(a</w:t>
      </w:r>
      <w:proofErr w:type="gramStart"/>
      <w:r w:rsidR="00CF401A" w:rsidRPr="00CF401A">
        <w:rPr>
          <w:rFonts w:ascii="Candara" w:hAnsi="Candara"/>
        </w:rPr>
        <w:t>)(</w:t>
      </w:r>
      <w:proofErr w:type="gramEnd"/>
      <w:r w:rsidR="00CF401A" w:rsidRPr="00CF401A">
        <w:rPr>
          <w:rFonts w:ascii="Candara" w:hAnsi="Candara"/>
        </w:rPr>
        <w:t>7)</w:t>
      </w:r>
    </w:p>
    <w:p w:rsidR="00084FDC" w:rsidRPr="001355E8" w:rsidRDefault="00084FDC" w:rsidP="00A609C2">
      <w:pPr>
        <w:pStyle w:val="ListParagraph"/>
        <w:numPr>
          <w:ilvl w:val="0"/>
          <w:numId w:val="7"/>
        </w:numPr>
        <w:spacing w:before="120" w:after="120"/>
        <w:ind w:left="2520" w:hanging="540"/>
        <w:contextualSpacing w:val="0"/>
        <w:jc w:val="both"/>
        <w:rPr>
          <w:rFonts w:ascii="Candara" w:hAnsi="Candara"/>
        </w:rPr>
      </w:pPr>
      <w:r w:rsidRPr="001355E8">
        <w:rPr>
          <w:rFonts w:ascii="Candara" w:hAnsi="Candara"/>
        </w:rPr>
        <w:t xml:space="preserve">The well has been plugged and abandoned in accordance with an approved plugging and abandonment plan and submitted a plugging and abandonment report; or </w:t>
      </w:r>
    </w:p>
    <w:p w:rsidR="00084FDC" w:rsidRPr="001355E8" w:rsidRDefault="00084FDC" w:rsidP="00A609C2">
      <w:pPr>
        <w:pStyle w:val="ListParagraph"/>
        <w:numPr>
          <w:ilvl w:val="0"/>
          <w:numId w:val="7"/>
        </w:numPr>
        <w:spacing w:before="120" w:after="120"/>
        <w:ind w:left="2520" w:hanging="540"/>
        <w:contextualSpacing w:val="0"/>
        <w:jc w:val="both"/>
        <w:rPr>
          <w:rFonts w:ascii="Candara" w:hAnsi="Candara"/>
        </w:rPr>
      </w:pPr>
      <w:r w:rsidRPr="001355E8">
        <w:rPr>
          <w:rFonts w:ascii="Candara" w:hAnsi="Candara"/>
        </w:rPr>
        <w:t>The well has been converted; or</w:t>
      </w:r>
    </w:p>
    <w:p w:rsidR="00084FDC" w:rsidRPr="001355E8" w:rsidRDefault="00084FDC" w:rsidP="00A609C2">
      <w:pPr>
        <w:pStyle w:val="ListParagraph"/>
        <w:numPr>
          <w:ilvl w:val="0"/>
          <w:numId w:val="7"/>
        </w:numPr>
        <w:spacing w:before="120" w:after="120"/>
        <w:ind w:left="2520" w:hanging="540"/>
        <w:contextualSpacing w:val="0"/>
        <w:jc w:val="both"/>
        <w:rPr>
          <w:rFonts w:ascii="Candara" w:hAnsi="Candara"/>
        </w:rPr>
      </w:pPr>
      <w:r w:rsidRPr="001355E8">
        <w:rPr>
          <w:rFonts w:ascii="Candara" w:hAnsi="Candara"/>
        </w:rPr>
        <w:t>The transferor of a permit has received notice from the Director that the owner or operator receiving transfer of the permit, the new permittee, has demonstrated financial responsibility for the well.</w:t>
      </w:r>
    </w:p>
    <w:p w:rsidR="00084FDC" w:rsidRPr="00ED0CE9" w:rsidRDefault="00084FDC" w:rsidP="00A609C2">
      <w:pPr>
        <w:pStyle w:val="ListParagraph"/>
        <w:numPr>
          <w:ilvl w:val="0"/>
          <w:numId w:val="6"/>
        </w:numPr>
        <w:spacing w:before="120"/>
        <w:jc w:val="both"/>
        <w:rPr>
          <w:rFonts w:ascii="Candara" w:hAnsi="Candara"/>
        </w:rPr>
      </w:pPr>
      <w:r w:rsidRPr="00ED0CE9">
        <w:rPr>
          <w:rFonts w:ascii="Candara" w:hAnsi="Candara"/>
        </w:rPr>
        <w:t>The permittee shall show evidence of such financial responsibility to the Director by the submission of a surety bond, or other adequate assurance, such as a financial statement or other materials acceptable to the Director.</w:t>
      </w:r>
    </w:p>
    <w:p w:rsidR="00084FDC" w:rsidRPr="00ED0CE9" w:rsidRDefault="00084FDC" w:rsidP="00A609C2">
      <w:pPr>
        <w:numPr>
          <w:ilvl w:val="5"/>
          <w:numId w:val="2"/>
        </w:numPr>
        <w:spacing w:before="120"/>
        <w:ind w:left="1080"/>
        <w:jc w:val="both"/>
        <w:rPr>
          <w:rFonts w:ascii="Candara" w:hAnsi="Candara"/>
        </w:rPr>
      </w:pPr>
      <w:r w:rsidRPr="00ED0CE9">
        <w:rPr>
          <w:rFonts w:ascii="Candara" w:hAnsi="Candara"/>
        </w:rPr>
        <w:t>The Director does not notify the existing permittee and the proposed new permittee of intent to modify or revoke and re</w:t>
      </w:r>
      <w:r w:rsidR="00873F8F">
        <w:rPr>
          <w:rFonts w:ascii="Candara" w:hAnsi="Candara"/>
        </w:rPr>
        <w:t>-</w:t>
      </w:r>
      <w:r w:rsidRPr="00ED0CE9">
        <w:rPr>
          <w:rFonts w:ascii="Candara" w:hAnsi="Candara"/>
        </w:rPr>
        <w:t>issue the permit.  A modification under this paragraph may also be a minor modification under section c) – Minor Modification of Permit.  If this notice is not received, the transfer is effective on the date specified in the agreement mentioned in paragraph (2</w:t>
      </w:r>
      <w:proofErr w:type="gramStart"/>
      <w:r w:rsidRPr="00ED0CE9">
        <w:rPr>
          <w:rFonts w:ascii="Candara" w:hAnsi="Candara"/>
        </w:rPr>
        <w:t>)(</w:t>
      </w:r>
      <w:proofErr w:type="gramEnd"/>
      <w:r w:rsidRPr="00ED0CE9">
        <w:rPr>
          <w:rFonts w:ascii="Candara" w:hAnsi="Candara"/>
        </w:rPr>
        <w:t>ii) of this section</w:t>
      </w:r>
      <w:r w:rsidR="009D64FA">
        <w:rPr>
          <w:rFonts w:ascii="Candara" w:hAnsi="Candara"/>
        </w:rPr>
        <w:t xml:space="preserve"> d)</w:t>
      </w:r>
      <w:r w:rsidRPr="00ED0CE9">
        <w:rPr>
          <w:rFonts w:ascii="Candara" w:hAnsi="Candara"/>
        </w:rPr>
        <w:t>.</w:t>
      </w:r>
    </w:p>
    <w:sectPr w:rsidR="00084FDC" w:rsidRPr="00ED0CE9" w:rsidSect="00EB0A19">
      <w:footerReference w:type="default" r:id="rId10"/>
      <w:footerReference w:type="first" r:id="rId11"/>
      <w:pgSz w:w="12240" w:h="15840" w:code="1"/>
      <w:pgMar w:top="720" w:right="720" w:bottom="720" w:left="720" w:header="0" w:footer="432"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9C2" w:rsidRDefault="00A609C2">
      <w:r>
        <w:separator/>
      </w:r>
    </w:p>
  </w:endnote>
  <w:endnote w:type="continuationSeparator" w:id="0">
    <w:p w:rsidR="00A609C2" w:rsidRDefault="00A6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8B" w:rsidRPr="00C3478B" w:rsidRDefault="00A609C2" w:rsidP="00C3478B">
    <w:pPr>
      <w:pStyle w:val="Footer"/>
      <w:tabs>
        <w:tab w:val="clear" w:pos="4320"/>
        <w:tab w:val="clear" w:pos="8640"/>
      </w:tabs>
      <w:spacing w:before="120"/>
      <w:jc w:val="right"/>
      <w:rPr>
        <w:rFonts w:ascii="Palatino Linotype" w:hAnsi="Palatino Linotype"/>
        <w:color w:val="000000" w:themeColor="text1"/>
        <w:sz w:val="18"/>
      </w:rPr>
    </w:pPr>
    <w:r>
      <w:rPr>
        <w:rFonts w:ascii="Palatino Linotype" w:hAnsi="Palatino Linotype"/>
        <w:color w:val="00B0F0"/>
        <w:sz w:val="18"/>
      </w:rPr>
      <w:pict>
        <v:rect id="_x0000_i1025" style="width:540pt;height:2pt" o:hralign="center" o:hrstd="t" o:hrnoshade="t" o:hr="t" fillcolor="#1488a4" stroked="f"/>
      </w:pict>
    </w:r>
  </w:p>
  <w:p w:rsidR="00ED5636" w:rsidRPr="00084FDC" w:rsidRDefault="00ED5636" w:rsidP="00ED5636">
    <w:pPr>
      <w:pStyle w:val="Footer"/>
      <w:tabs>
        <w:tab w:val="clear" w:pos="4320"/>
        <w:tab w:val="clear" w:pos="8640"/>
        <w:tab w:val="center" w:pos="6120"/>
        <w:tab w:val="right" w:pos="10800"/>
      </w:tabs>
      <w:spacing w:before="120"/>
      <w:jc w:val="center"/>
      <w:rPr>
        <w:rFonts w:ascii="Candara" w:hAnsi="Candara"/>
        <w:sz w:val="18"/>
      </w:rPr>
    </w:pPr>
    <w:r>
      <w:rPr>
        <w:rFonts w:ascii="Candara" w:hAnsi="Candara"/>
        <w:sz w:val="18"/>
      </w:rPr>
      <w:tab/>
    </w:r>
    <w:proofErr w:type="gramStart"/>
    <w:r>
      <w:rPr>
        <w:rFonts w:ascii="Candara" w:hAnsi="Candara"/>
        <w:sz w:val="18"/>
      </w:rPr>
      <w:t xml:space="preserve">Page  </w:t>
    </w:r>
    <w:proofErr w:type="gramEnd"/>
    <w:r>
      <w:rPr>
        <w:rFonts w:ascii="Candara" w:hAnsi="Candara"/>
        <w:sz w:val="18"/>
      </w:rPr>
      <w:fldChar w:fldCharType="begin"/>
    </w:r>
    <w:r>
      <w:rPr>
        <w:rFonts w:ascii="Candara" w:hAnsi="Candara"/>
        <w:sz w:val="18"/>
      </w:rPr>
      <w:instrText xml:space="preserve"> PAGE   \* MERGEFORMAT </w:instrText>
    </w:r>
    <w:r>
      <w:rPr>
        <w:rFonts w:ascii="Candara" w:hAnsi="Candara"/>
        <w:sz w:val="18"/>
      </w:rPr>
      <w:fldChar w:fldCharType="separate"/>
    </w:r>
    <w:r w:rsidR="00A30EFE">
      <w:rPr>
        <w:rFonts w:ascii="Candara" w:hAnsi="Candara"/>
        <w:noProof/>
        <w:sz w:val="18"/>
      </w:rPr>
      <w:t>2</w:t>
    </w:r>
    <w:r>
      <w:rPr>
        <w:rFonts w:ascii="Candara" w:hAnsi="Candara"/>
        <w:sz w:val="18"/>
      </w:rPr>
      <w:fldChar w:fldCharType="end"/>
    </w:r>
    <w:r>
      <w:rPr>
        <w:rFonts w:ascii="Candara" w:hAnsi="Candara"/>
        <w:sz w:val="18"/>
      </w:rPr>
      <w:t xml:space="preserve">  of  </w:t>
    </w:r>
    <w:r>
      <w:rPr>
        <w:rFonts w:ascii="Candara" w:hAnsi="Candara"/>
        <w:sz w:val="18"/>
      </w:rPr>
      <w:fldChar w:fldCharType="begin"/>
    </w:r>
    <w:r>
      <w:rPr>
        <w:rFonts w:ascii="Candara" w:hAnsi="Candara"/>
        <w:sz w:val="18"/>
      </w:rPr>
      <w:instrText xml:space="preserve"> NUMPAGES   \* MERGEFORMAT </w:instrText>
    </w:r>
    <w:r>
      <w:rPr>
        <w:rFonts w:ascii="Candara" w:hAnsi="Candara"/>
        <w:sz w:val="18"/>
      </w:rPr>
      <w:fldChar w:fldCharType="separate"/>
    </w:r>
    <w:r w:rsidR="00A30EFE">
      <w:rPr>
        <w:rFonts w:ascii="Candara" w:hAnsi="Candara"/>
        <w:noProof/>
        <w:sz w:val="18"/>
      </w:rPr>
      <w:t>5</w:t>
    </w:r>
    <w:r>
      <w:rPr>
        <w:rFonts w:ascii="Candara" w:hAnsi="Candara"/>
        <w:sz w:val="18"/>
      </w:rPr>
      <w:fldChar w:fldCharType="end"/>
    </w:r>
    <w:r>
      <w:rPr>
        <w:rFonts w:ascii="Candara" w:hAnsi="Candara"/>
        <w:sz w:val="18"/>
      </w:rPr>
      <w:tab/>
    </w:r>
    <w:r w:rsidRPr="00084FDC">
      <w:rPr>
        <w:rFonts w:ascii="Candara" w:hAnsi="Candara"/>
        <w:sz w:val="18"/>
      </w:rPr>
      <w:t xml:space="preserve">Last Revised:   </w:t>
    </w:r>
    <w:r w:rsidR="00131431">
      <w:rPr>
        <w:rFonts w:ascii="Candara" w:hAnsi="Candara"/>
        <w:sz w:val="18"/>
      </w:rPr>
      <w:t>25</w:t>
    </w:r>
    <w:r w:rsidRPr="00084FDC">
      <w:rPr>
        <w:rFonts w:ascii="Candara" w:hAnsi="Candara"/>
        <w:sz w:val="18"/>
      </w:rPr>
      <w:t xml:space="preserve"> January 2018</w:t>
    </w:r>
  </w:p>
  <w:p w:rsidR="009E2A0F" w:rsidRDefault="009E2A0F" w:rsidP="00ED5636">
    <w:pPr>
      <w:pStyle w:val="Footer"/>
      <w:tabs>
        <w:tab w:val="clear" w:pos="4320"/>
        <w:tab w:val="clear" w:pos="8640"/>
      </w:tabs>
      <w:spacing w:before="120"/>
      <w:jc w:val="righ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D2" w:rsidRPr="00C3478B" w:rsidRDefault="00A609C2" w:rsidP="00D35C68">
    <w:pPr>
      <w:pStyle w:val="Footer"/>
      <w:tabs>
        <w:tab w:val="clear" w:pos="4320"/>
        <w:tab w:val="clear" w:pos="8640"/>
        <w:tab w:val="right" w:pos="10800"/>
      </w:tabs>
      <w:rPr>
        <w:rFonts w:ascii="Palatino Linotype" w:hAnsi="Palatino Linotype"/>
        <w:sz w:val="18"/>
      </w:rPr>
    </w:pPr>
    <w:r>
      <w:rPr>
        <w:rFonts w:ascii="Palatino Linotype" w:hAnsi="Palatino Linotype"/>
        <w:color w:val="00B0F0"/>
        <w:sz w:val="18"/>
      </w:rPr>
      <w:pict>
        <v:rect id="_x0000_i1026" style="width:540pt;height:2pt" o:hralign="center" o:hrstd="t" o:hrnoshade="t" o:hr="t" fillcolor="#1488a4" stroked="f"/>
      </w:pict>
    </w:r>
  </w:p>
  <w:p w:rsidR="009E2A0F" w:rsidRPr="00084FDC" w:rsidRDefault="00ED5636" w:rsidP="00146715">
    <w:pPr>
      <w:pStyle w:val="Footer"/>
      <w:tabs>
        <w:tab w:val="clear" w:pos="4320"/>
        <w:tab w:val="clear" w:pos="8640"/>
        <w:tab w:val="center" w:pos="6120"/>
        <w:tab w:val="right" w:pos="10800"/>
      </w:tabs>
      <w:spacing w:before="120"/>
      <w:jc w:val="center"/>
      <w:rPr>
        <w:rFonts w:ascii="Candara" w:hAnsi="Candara"/>
        <w:sz w:val="18"/>
      </w:rPr>
    </w:pPr>
    <w:r>
      <w:rPr>
        <w:rFonts w:ascii="Candara" w:hAnsi="Candara"/>
        <w:sz w:val="18"/>
      </w:rPr>
      <w:tab/>
    </w:r>
    <w:proofErr w:type="gramStart"/>
    <w:r w:rsidR="00146715">
      <w:rPr>
        <w:rFonts w:ascii="Candara" w:hAnsi="Candara"/>
        <w:sz w:val="18"/>
      </w:rPr>
      <w:t xml:space="preserve">Page  </w:t>
    </w:r>
    <w:proofErr w:type="gramEnd"/>
    <w:r w:rsidR="00146715">
      <w:rPr>
        <w:rFonts w:ascii="Candara" w:hAnsi="Candara"/>
        <w:sz w:val="18"/>
      </w:rPr>
      <w:fldChar w:fldCharType="begin"/>
    </w:r>
    <w:r w:rsidR="00146715">
      <w:rPr>
        <w:rFonts w:ascii="Candara" w:hAnsi="Candara"/>
        <w:sz w:val="18"/>
      </w:rPr>
      <w:instrText xml:space="preserve"> PAGE   \* MERGEFORMAT </w:instrText>
    </w:r>
    <w:r w:rsidR="00146715">
      <w:rPr>
        <w:rFonts w:ascii="Candara" w:hAnsi="Candara"/>
        <w:sz w:val="18"/>
      </w:rPr>
      <w:fldChar w:fldCharType="separate"/>
    </w:r>
    <w:r w:rsidR="00A30EFE">
      <w:rPr>
        <w:rFonts w:ascii="Candara" w:hAnsi="Candara"/>
        <w:noProof/>
        <w:sz w:val="18"/>
      </w:rPr>
      <w:t>1</w:t>
    </w:r>
    <w:r w:rsidR="00146715">
      <w:rPr>
        <w:rFonts w:ascii="Candara" w:hAnsi="Candara"/>
        <w:sz w:val="18"/>
      </w:rPr>
      <w:fldChar w:fldCharType="end"/>
    </w:r>
    <w:r w:rsidR="00146715">
      <w:rPr>
        <w:rFonts w:ascii="Candara" w:hAnsi="Candara"/>
        <w:sz w:val="18"/>
      </w:rPr>
      <w:t xml:space="preserve">  of  </w:t>
    </w:r>
    <w:r w:rsidR="00146715">
      <w:rPr>
        <w:rFonts w:ascii="Candara" w:hAnsi="Candara"/>
        <w:sz w:val="18"/>
      </w:rPr>
      <w:fldChar w:fldCharType="begin"/>
    </w:r>
    <w:r w:rsidR="00146715">
      <w:rPr>
        <w:rFonts w:ascii="Candara" w:hAnsi="Candara"/>
        <w:sz w:val="18"/>
      </w:rPr>
      <w:instrText xml:space="preserve"> NUMPAGES   \* MERGEFORMAT </w:instrText>
    </w:r>
    <w:r w:rsidR="00146715">
      <w:rPr>
        <w:rFonts w:ascii="Candara" w:hAnsi="Candara"/>
        <w:sz w:val="18"/>
      </w:rPr>
      <w:fldChar w:fldCharType="separate"/>
    </w:r>
    <w:r w:rsidR="00A30EFE">
      <w:rPr>
        <w:rFonts w:ascii="Candara" w:hAnsi="Candara"/>
        <w:noProof/>
        <w:sz w:val="18"/>
      </w:rPr>
      <w:t>5</w:t>
    </w:r>
    <w:r w:rsidR="00146715">
      <w:rPr>
        <w:rFonts w:ascii="Candara" w:hAnsi="Candara"/>
        <w:sz w:val="18"/>
      </w:rPr>
      <w:fldChar w:fldCharType="end"/>
    </w:r>
    <w:r w:rsidR="00146715">
      <w:rPr>
        <w:rFonts w:ascii="Candara" w:hAnsi="Candara"/>
        <w:sz w:val="18"/>
      </w:rPr>
      <w:tab/>
    </w:r>
    <w:r w:rsidR="00041DB3" w:rsidRPr="00084FDC">
      <w:rPr>
        <w:rFonts w:ascii="Candara" w:hAnsi="Candara"/>
        <w:sz w:val="18"/>
      </w:rPr>
      <w:t xml:space="preserve">Last Revised:   </w:t>
    </w:r>
    <w:r w:rsidR="00131431">
      <w:rPr>
        <w:rFonts w:ascii="Candara" w:hAnsi="Candara"/>
        <w:sz w:val="18"/>
      </w:rPr>
      <w:t>25</w:t>
    </w:r>
    <w:r w:rsidR="00041DB3" w:rsidRPr="00084FDC">
      <w:rPr>
        <w:rFonts w:ascii="Candara" w:hAnsi="Candara"/>
        <w:sz w:val="18"/>
      </w:rPr>
      <w:t xml:space="preserve"> 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9C2" w:rsidRDefault="00A609C2">
      <w:r>
        <w:separator/>
      </w:r>
    </w:p>
  </w:footnote>
  <w:footnote w:type="continuationSeparator" w:id="0">
    <w:p w:rsidR="00A609C2" w:rsidRDefault="00A60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446E9"/>
    <w:multiLevelType w:val="hybridMultilevel"/>
    <w:tmpl w:val="CCEAE712"/>
    <w:lvl w:ilvl="0" w:tplc="A4B400E0">
      <w:start w:val="1"/>
      <w:numFmt w:val="upperLetter"/>
      <w:lvlText w:val="(%1)"/>
      <w:lvlJc w:val="left"/>
      <w:pPr>
        <w:ind w:left="148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842108"/>
    <w:multiLevelType w:val="hybridMultilevel"/>
    <w:tmpl w:val="CCEAE712"/>
    <w:lvl w:ilvl="0" w:tplc="A4B400E0">
      <w:start w:val="1"/>
      <w:numFmt w:val="upperLetter"/>
      <w:lvlText w:val="(%1)"/>
      <w:lvlJc w:val="left"/>
      <w:pPr>
        <w:ind w:left="148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9633EF"/>
    <w:multiLevelType w:val="hybridMultilevel"/>
    <w:tmpl w:val="8D020B6E"/>
    <w:lvl w:ilvl="0" w:tplc="5F9694B6">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1F7D2355"/>
    <w:multiLevelType w:val="hybridMultilevel"/>
    <w:tmpl w:val="8D020B6E"/>
    <w:lvl w:ilvl="0" w:tplc="5F9694B6">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3C8B5523"/>
    <w:multiLevelType w:val="multilevel"/>
    <w:tmpl w:val="D856E664"/>
    <w:styleLink w:val="UICPermitList"/>
    <w:lvl w:ilvl="0">
      <w:start w:val="1"/>
      <w:numFmt w:val="upperRoman"/>
      <w:suff w:val="nothing"/>
      <w:lvlText w:val="PART %1.   "/>
      <w:lvlJc w:val="left"/>
      <w:pPr>
        <w:ind w:left="1440" w:hanging="1440"/>
      </w:pPr>
      <w:rPr>
        <w:rFonts w:ascii="Times New Roman" w:hAnsi="Times New Roman" w:hint="default"/>
        <w:b/>
        <w:i w:val="0"/>
        <w:color w:val="auto"/>
        <w:sz w:val="28"/>
      </w:rPr>
    </w:lvl>
    <w:lvl w:ilvl="1">
      <w:start w:val="1"/>
      <w:numFmt w:val="upperLetter"/>
      <w:suff w:val="nothing"/>
      <w:lvlText w:val="%2.   "/>
      <w:lvlJc w:val="right"/>
      <w:pPr>
        <w:ind w:left="360" w:firstLine="0"/>
      </w:pPr>
      <w:rPr>
        <w:rFonts w:ascii="Times New Roman" w:hAnsi="Times New Roman" w:hint="default"/>
        <w:b w:val="0"/>
        <w:i w:val="0"/>
        <w:caps/>
        <w:sz w:val="24"/>
      </w:rPr>
    </w:lvl>
    <w:lvl w:ilvl="2">
      <w:start w:val="1"/>
      <w:numFmt w:val="decimal"/>
      <w:suff w:val="nothing"/>
      <w:lvlText w:val="%3.   "/>
      <w:lvlJc w:val="right"/>
      <w:pPr>
        <w:ind w:left="720" w:firstLine="0"/>
      </w:pPr>
      <w:rPr>
        <w:rFonts w:ascii="Times New Roman" w:hAnsi="Times New Roman" w:hint="default"/>
        <w:sz w:val="24"/>
      </w:rPr>
    </w:lvl>
    <w:lvl w:ilvl="3">
      <w:start w:val="1"/>
      <w:numFmt w:val="lowerLetter"/>
      <w:suff w:val="nothing"/>
      <w:lvlText w:val="%4)   "/>
      <w:lvlJc w:val="right"/>
      <w:pPr>
        <w:ind w:left="1080" w:firstLine="0"/>
      </w:pPr>
      <w:rPr>
        <w:rFonts w:ascii="Times New Roman" w:hAnsi="Times New Roman" w:hint="default"/>
        <w:sz w:val="24"/>
      </w:rPr>
    </w:lvl>
    <w:lvl w:ilvl="4">
      <w:start w:val="1"/>
      <w:numFmt w:val="decimal"/>
      <w:suff w:val="nothing"/>
      <w:lvlText w:val="(%5)   "/>
      <w:lvlJc w:val="right"/>
      <w:pPr>
        <w:ind w:left="1440" w:firstLine="0"/>
      </w:pPr>
      <w:rPr>
        <w:rFonts w:ascii="Times New Roman" w:hAnsi="Times New Roman" w:hint="default"/>
        <w:sz w:val="24"/>
      </w:rPr>
    </w:lvl>
    <w:lvl w:ilvl="5">
      <w:start w:val="1"/>
      <w:numFmt w:val="lowerRoman"/>
      <w:suff w:val="nothing"/>
      <w:lvlText w:val="%6.   "/>
      <w:lvlJc w:val="right"/>
      <w:pPr>
        <w:ind w:left="1800" w:firstLine="0"/>
      </w:pPr>
      <w:rPr>
        <w:rFonts w:ascii="Times New Roman" w:hAnsi="Times New Roman" w:hint="default"/>
        <w:sz w:val="24"/>
      </w:rPr>
    </w:lvl>
    <w:lvl w:ilvl="6">
      <w:start w:val="1"/>
      <w:numFmt w:val="none"/>
      <w:lvlText w:val="%7."/>
      <w:lvlJc w:val="left"/>
      <w:pPr>
        <w:ind w:left="5040" w:hanging="720"/>
      </w:pPr>
      <w:rPr>
        <w:rFonts w:hint="default"/>
      </w:rPr>
    </w:lvl>
    <w:lvl w:ilvl="7">
      <w:start w:val="1"/>
      <w:numFmt w:val="none"/>
      <w:lvlText w:val="%8."/>
      <w:lvlJc w:val="left"/>
      <w:pPr>
        <w:ind w:left="5760" w:hanging="720"/>
      </w:pPr>
      <w:rPr>
        <w:rFonts w:hint="default"/>
      </w:rPr>
    </w:lvl>
    <w:lvl w:ilvl="8">
      <w:start w:val="1"/>
      <w:numFmt w:val="none"/>
      <w:lvlText w:val="%9."/>
      <w:lvlJc w:val="left"/>
      <w:pPr>
        <w:ind w:left="6480" w:hanging="720"/>
      </w:pPr>
      <w:rPr>
        <w:rFonts w:hint="default"/>
      </w:rPr>
    </w:lvl>
  </w:abstractNum>
  <w:abstractNum w:abstractNumId="5">
    <w:nsid w:val="6D7A25BE"/>
    <w:multiLevelType w:val="multilevel"/>
    <w:tmpl w:val="D856E664"/>
    <w:numStyleLink w:val="UICPermitList"/>
  </w:abstractNum>
  <w:num w:numId="1">
    <w:abstractNumId w:val="4"/>
  </w:num>
  <w:num w:numId="2">
    <w:abstractNumId w:val="5"/>
    <w:lvlOverride w:ilvl="0">
      <w:lvl w:ilvl="0">
        <w:start w:val="1"/>
        <w:numFmt w:val="upperRoman"/>
        <w:suff w:val="nothing"/>
        <w:lvlText w:val="PART %1.   "/>
        <w:lvlJc w:val="left"/>
        <w:pPr>
          <w:ind w:left="1440" w:hanging="1440"/>
        </w:pPr>
        <w:rPr>
          <w:rFonts w:ascii="Times New Roman" w:hAnsi="Times New Roman" w:hint="default"/>
          <w:b/>
          <w:i w:val="0"/>
          <w:color w:val="auto"/>
          <w:sz w:val="28"/>
        </w:rPr>
      </w:lvl>
    </w:lvlOverride>
    <w:lvlOverride w:ilvl="1">
      <w:lvl w:ilvl="1">
        <w:start w:val="1"/>
        <w:numFmt w:val="upperLetter"/>
        <w:suff w:val="nothing"/>
        <w:lvlText w:val="%2.   "/>
        <w:lvlJc w:val="right"/>
        <w:pPr>
          <w:ind w:left="360" w:firstLine="0"/>
        </w:pPr>
        <w:rPr>
          <w:rFonts w:ascii="Times New Roman" w:hAnsi="Times New Roman" w:hint="default"/>
          <w:b w:val="0"/>
          <w:i w:val="0"/>
          <w:caps/>
          <w:sz w:val="24"/>
        </w:rPr>
      </w:lvl>
    </w:lvlOverride>
    <w:lvlOverride w:ilvl="2">
      <w:lvl w:ilvl="2">
        <w:start w:val="1"/>
        <w:numFmt w:val="decimal"/>
        <w:suff w:val="nothing"/>
        <w:lvlText w:val="%3.   "/>
        <w:lvlJc w:val="right"/>
        <w:pPr>
          <w:ind w:left="720" w:firstLine="0"/>
        </w:pPr>
        <w:rPr>
          <w:rFonts w:ascii="Times New Roman" w:hAnsi="Times New Roman" w:hint="default"/>
          <w:sz w:val="24"/>
        </w:rPr>
      </w:lvl>
    </w:lvlOverride>
    <w:lvlOverride w:ilvl="3">
      <w:lvl w:ilvl="3">
        <w:start w:val="1"/>
        <w:numFmt w:val="lowerLetter"/>
        <w:suff w:val="nothing"/>
        <w:lvlText w:val="%4)   "/>
        <w:lvlJc w:val="right"/>
        <w:pPr>
          <w:ind w:left="1080" w:firstLine="0"/>
        </w:pPr>
        <w:rPr>
          <w:rFonts w:ascii="Times New Roman" w:hAnsi="Times New Roman" w:hint="default"/>
          <w:sz w:val="24"/>
        </w:rPr>
      </w:lvl>
    </w:lvlOverride>
    <w:lvlOverride w:ilvl="4">
      <w:lvl w:ilvl="4">
        <w:start w:val="1"/>
        <w:numFmt w:val="decimal"/>
        <w:suff w:val="nothing"/>
        <w:lvlText w:val="(%5)   "/>
        <w:lvlJc w:val="right"/>
        <w:pPr>
          <w:ind w:left="1440" w:firstLine="0"/>
        </w:pPr>
        <w:rPr>
          <w:rFonts w:ascii="Candara" w:hAnsi="Candara" w:hint="default"/>
          <w:sz w:val="24"/>
        </w:rPr>
      </w:lvl>
    </w:lvlOverride>
    <w:lvlOverride w:ilvl="5">
      <w:lvl w:ilvl="5">
        <w:start w:val="1"/>
        <w:numFmt w:val="lowerRoman"/>
        <w:suff w:val="nothing"/>
        <w:lvlText w:val="%6.   "/>
        <w:lvlJc w:val="right"/>
        <w:pPr>
          <w:ind w:left="1800" w:firstLine="0"/>
        </w:pPr>
        <w:rPr>
          <w:rFonts w:ascii="Candara" w:hAnsi="Candara" w:hint="default"/>
          <w:sz w:val="24"/>
        </w:rPr>
      </w:lvl>
    </w:lvlOverride>
    <w:lvlOverride w:ilvl="6">
      <w:lvl w:ilvl="6">
        <w:start w:val="1"/>
        <w:numFmt w:val="none"/>
        <w:lvlText w:val="%7."/>
        <w:lvlJc w:val="left"/>
        <w:pPr>
          <w:ind w:left="5040" w:hanging="720"/>
        </w:pPr>
        <w:rPr>
          <w:rFonts w:hint="default"/>
        </w:rPr>
      </w:lvl>
    </w:lvlOverride>
    <w:lvlOverride w:ilvl="7">
      <w:lvl w:ilvl="7">
        <w:start w:val="1"/>
        <w:numFmt w:val="none"/>
        <w:lvlText w:val="%8."/>
        <w:lvlJc w:val="left"/>
        <w:pPr>
          <w:ind w:left="5760" w:hanging="720"/>
        </w:pPr>
        <w:rPr>
          <w:rFonts w:hint="default"/>
        </w:rPr>
      </w:lvl>
    </w:lvlOverride>
    <w:lvlOverride w:ilvl="8">
      <w:lvl w:ilvl="8">
        <w:start w:val="1"/>
        <w:numFmt w:val="none"/>
        <w:lvlText w:val="%9."/>
        <w:lvlJc w:val="left"/>
        <w:pPr>
          <w:ind w:left="6480" w:hanging="720"/>
        </w:pPr>
        <w:rPr>
          <w:rFonts w:hint="default"/>
        </w:rPr>
      </w:lvl>
    </w:lvlOverride>
  </w:num>
  <w:num w:numId="3">
    <w:abstractNumId w:val="5"/>
    <w:lvlOverride w:ilvl="4">
      <w:lvl w:ilvl="4">
        <w:start w:val="1"/>
        <w:numFmt w:val="decimal"/>
        <w:suff w:val="nothing"/>
        <w:lvlText w:val="(%5)   "/>
        <w:lvlJc w:val="right"/>
        <w:pPr>
          <w:ind w:left="1440" w:firstLine="0"/>
        </w:pPr>
        <w:rPr>
          <w:rFonts w:ascii="Candara" w:hAnsi="Candara" w:hint="default"/>
          <w:sz w:val="24"/>
        </w:rPr>
      </w:lvl>
    </w:lvlOverride>
  </w:num>
  <w:num w:numId="4">
    <w:abstractNumId w:val="1"/>
  </w:num>
  <w:num w:numId="5">
    <w:abstractNumId w:val="2"/>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B3"/>
    <w:rsid w:val="00041DB3"/>
    <w:rsid w:val="0007378A"/>
    <w:rsid w:val="00084FDC"/>
    <w:rsid w:val="00131431"/>
    <w:rsid w:val="001355E8"/>
    <w:rsid w:val="00146715"/>
    <w:rsid w:val="00152934"/>
    <w:rsid w:val="00193AA1"/>
    <w:rsid w:val="00193ECA"/>
    <w:rsid w:val="0028439A"/>
    <w:rsid w:val="00290C89"/>
    <w:rsid w:val="002A1B1B"/>
    <w:rsid w:val="002C707E"/>
    <w:rsid w:val="0041005E"/>
    <w:rsid w:val="004464BC"/>
    <w:rsid w:val="00447AAD"/>
    <w:rsid w:val="004B2776"/>
    <w:rsid w:val="004B7DEB"/>
    <w:rsid w:val="005522B1"/>
    <w:rsid w:val="0068395C"/>
    <w:rsid w:val="0071314B"/>
    <w:rsid w:val="007935D1"/>
    <w:rsid w:val="007A54CD"/>
    <w:rsid w:val="00873F8F"/>
    <w:rsid w:val="0087501C"/>
    <w:rsid w:val="009276F6"/>
    <w:rsid w:val="00930888"/>
    <w:rsid w:val="00974AD2"/>
    <w:rsid w:val="009D64FA"/>
    <w:rsid w:val="009E2A0F"/>
    <w:rsid w:val="009F0A75"/>
    <w:rsid w:val="00A1220F"/>
    <w:rsid w:val="00A23897"/>
    <w:rsid w:val="00A30EFE"/>
    <w:rsid w:val="00A35B02"/>
    <w:rsid w:val="00A609C2"/>
    <w:rsid w:val="00A947C0"/>
    <w:rsid w:val="00B10B1B"/>
    <w:rsid w:val="00BC0903"/>
    <w:rsid w:val="00C3478B"/>
    <w:rsid w:val="00CC4477"/>
    <w:rsid w:val="00CC5C4F"/>
    <w:rsid w:val="00CF401A"/>
    <w:rsid w:val="00D10ED2"/>
    <w:rsid w:val="00D35C68"/>
    <w:rsid w:val="00D40BF5"/>
    <w:rsid w:val="00DA4695"/>
    <w:rsid w:val="00DE08CD"/>
    <w:rsid w:val="00EA41D3"/>
    <w:rsid w:val="00EB0A19"/>
    <w:rsid w:val="00ED0CE9"/>
    <w:rsid w:val="00ED5636"/>
    <w:rsid w:val="00F852AE"/>
    <w:rsid w:val="00F8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jc w:val="center"/>
      <w:outlineLvl w:val="1"/>
    </w:pPr>
    <w:rPr>
      <w:rFonts w:ascii="Palatino Linotype" w:hAnsi="Palatino Linotype"/>
      <w:b/>
      <w:bCs/>
      <w:sz w:val="32"/>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outlineLvl w:val="3"/>
    </w:pPr>
    <w:rPr>
      <w:rFonts w:ascii="Palatino Linotype" w:hAnsi="Palatino Linotype"/>
      <w:b/>
      <w:bCs/>
      <w:sz w:val="28"/>
    </w:rPr>
  </w:style>
  <w:style w:type="paragraph" w:styleId="Heading5">
    <w:name w:val="heading 5"/>
    <w:basedOn w:val="Normal"/>
    <w:next w:val="Normal"/>
    <w:qFormat/>
    <w:pPr>
      <w:keepNext/>
      <w:jc w:val="both"/>
      <w:outlineLvl w:val="4"/>
    </w:pPr>
    <w:rPr>
      <w:rFonts w:ascii="Palatino Linotype" w:hAnsi="Palatino Linotyp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color w:val="000000"/>
    </w:rPr>
  </w:style>
  <w:style w:type="paragraph" w:styleId="CommentText">
    <w:name w:val="annotation text"/>
    <w:basedOn w:val="Normal"/>
    <w:semiHidden/>
    <w:rPr>
      <w:sz w:val="20"/>
      <w:szCs w:val="20"/>
    </w:rPr>
  </w:style>
  <w:style w:type="character" w:customStyle="1" w:styleId="enumbell">
    <w:name w:val="enumbell"/>
    <w:basedOn w:val="DefaultParagraphFont"/>
  </w:style>
  <w:style w:type="character" w:customStyle="1" w:styleId="ptext-2">
    <w:name w:val="ptext-2"/>
    <w:basedOn w:val="DefaultParagraphFont"/>
  </w:style>
  <w:style w:type="character" w:customStyle="1" w:styleId="enumlstr">
    <w:name w:val="enumlstr"/>
    <w:basedOn w:val="DefaultParagraphFont"/>
  </w:style>
  <w:style w:type="character" w:customStyle="1" w:styleId="ptext-3">
    <w:name w:val="ptext-3"/>
    <w:basedOn w:val="DefaultParagraphFont"/>
  </w:style>
  <w:style w:type="character" w:styleId="Hyperlink">
    <w:name w:val="Hyperlink"/>
    <w:basedOn w:val="DefaultParagraphFont"/>
    <w:semiHidden/>
    <w:rPr>
      <w:color w:val="0000FF"/>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Indent">
    <w:name w:val="Body Text Indent"/>
    <w:basedOn w:val="Normal"/>
    <w:semiHidden/>
    <w:pPr>
      <w:ind w:left="720" w:hanging="360"/>
    </w:pPr>
    <w:rPr>
      <w:rFonts w:ascii="Palatino Linotype" w:hAnsi="Palatino Linotype"/>
      <w:sz w:val="18"/>
    </w:rPr>
  </w:style>
  <w:style w:type="character" w:styleId="Strong">
    <w:name w:val="Strong"/>
    <w:basedOn w:val="DefaultParagraphFont"/>
    <w:qFormat/>
    <w:rPr>
      <w:b/>
      <w:bCs/>
    </w:rPr>
  </w:style>
  <w:style w:type="paragraph" w:styleId="BodyText">
    <w:name w:val="Body Text"/>
    <w:basedOn w:val="Normal"/>
    <w:semiHidden/>
    <w:pPr>
      <w:jc w:val="both"/>
    </w:pPr>
    <w:rPr>
      <w:rFonts w:ascii="Palatino Linotype" w:hAnsi="Palatino Linotype"/>
      <w:sz w:val="18"/>
    </w:rPr>
  </w:style>
  <w:style w:type="character" w:customStyle="1" w:styleId="seccatch">
    <w:name w:val="seccatch"/>
    <w:rPr>
      <w:b/>
      <w:bCs/>
    </w:rPr>
  </w:style>
  <w:style w:type="paragraph" w:styleId="BodyTextIndent2">
    <w:name w:val="Body Text Indent 2"/>
    <w:basedOn w:val="Normal"/>
    <w:semiHidden/>
    <w:pPr>
      <w:tabs>
        <w:tab w:val="left" w:pos="720"/>
        <w:tab w:val="left" w:pos="1080"/>
        <w:tab w:val="left" w:pos="1440"/>
        <w:tab w:val="left" w:pos="1800"/>
        <w:tab w:val="left" w:pos="2160"/>
        <w:tab w:val="left" w:pos="2520"/>
      </w:tabs>
      <w:ind w:left="720" w:hanging="540"/>
    </w:pPr>
    <w:rPr>
      <w:rFonts w:ascii="Palatino Linotype" w:hAnsi="Palatino Linotype" w:cs="Arial"/>
      <w:sz w:val="20"/>
    </w:rPr>
  </w:style>
  <w:style w:type="paragraph" w:styleId="BodyTextIndent3">
    <w:name w:val="Body Text Indent 3"/>
    <w:basedOn w:val="Normal"/>
    <w:semiHidden/>
    <w:pPr>
      <w:ind w:left="1080" w:hanging="360"/>
    </w:pPr>
    <w:rPr>
      <w:rFonts w:ascii="Palatino Linotype" w:hAnsi="Palatino Linotype" w:cs="Arial"/>
      <w:sz w:val="20"/>
    </w:rPr>
  </w:style>
  <w:style w:type="paragraph" w:styleId="BodyText2">
    <w:name w:val="Body Text 2"/>
    <w:basedOn w:val="Normal"/>
    <w:semiHidden/>
    <w:rPr>
      <w:rFonts w:ascii="Palatino Linotype" w:hAnsi="Palatino Linotype"/>
      <w:sz w:val="18"/>
    </w:r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41005E"/>
    <w:rPr>
      <w:rFonts w:ascii="Tahoma" w:hAnsi="Tahoma" w:cs="Tahoma"/>
      <w:sz w:val="16"/>
      <w:szCs w:val="16"/>
    </w:rPr>
  </w:style>
  <w:style w:type="character" w:customStyle="1" w:styleId="BalloonTextChar">
    <w:name w:val="Balloon Text Char"/>
    <w:basedOn w:val="DefaultParagraphFont"/>
    <w:link w:val="BalloonText"/>
    <w:uiPriority w:val="99"/>
    <w:semiHidden/>
    <w:rsid w:val="0041005E"/>
    <w:rPr>
      <w:rFonts w:ascii="Tahoma" w:hAnsi="Tahoma" w:cs="Tahoma"/>
      <w:sz w:val="16"/>
      <w:szCs w:val="16"/>
    </w:rPr>
  </w:style>
  <w:style w:type="numbering" w:customStyle="1" w:styleId="UICPermitList">
    <w:name w:val="UIC_Permit_List"/>
    <w:uiPriority w:val="99"/>
    <w:rsid w:val="00084FDC"/>
    <w:pPr>
      <w:numPr>
        <w:numId w:val="1"/>
      </w:numPr>
    </w:pPr>
  </w:style>
  <w:style w:type="paragraph" w:styleId="ListParagraph">
    <w:name w:val="List Paragraph"/>
    <w:basedOn w:val="Normal"/>
    <w:uiPriority w:val="34"/>
    <w:qFormat/>
    <w:rsid w:val="001355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jc w:val="center"/>
      <w:outlineLvl w:val="1"/>
    </w:pPr>
    <w:rPr>
      <w:rFonts w:ascii="Palatino Linotype" w:hAnsi="Palatino Linotype"/>
      <w:b/>
      <w:bCs/>
      <w:sz w:val="32"/>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outlineLvl w:val="3"/>
    </w:pPr>
    <w:rPr>
      <w:rFonts w:ascii="Palatino Linotype" w:hAnsi="Palatino Linotype"/>
      <w:b/>
      <w:bCs/>
      <w:sz w:val="28"/>
    </w:rPr>
  </w:style>
  <w:style w:type="paragraph" w:styleId="Heading5">
    <w:name w:val="heading 5"/>
    <w:basedOn w:val="Normal"/>
    <w:next w:val="Normal"/>
    <w:qFormat/>
    <w:pPr>
      <w:keepNext/>
      <w:jc w:val="both"/>
      <w:outlineLvl w:val="4"/>
    </w:pPr>
    <w:rPr>
      <w:rFonts w:ascii="Palatino Linotype" w:hAnsi="Palatino Linotyp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color w:val="000000"/>
    </w:rPr>
  </w:style>
  <w:style w:type="paragraph" w:styleId="CommentText">
    <w:name w:val="annotation text"/>
    <w:basedOn w:val="Normal"/>
    <w:semiHidden/>
    <w:rPr>
      <w:sz w:val="20"/>
      <w:szCs w:val="20"/>
    </w:rPr>
  </w:style>
  <w:style w:type="character" w:customStyle="1" w:styleId="enumbell">
    <w:name w:val="enumbell"/>
    <w:basedOn w:val="DefaultParagraphFont"/>
  </w:style>
  <w:style w:type="character" w:customStyle="1" w:styleId="ptext-2">
    <w:name w:val="ptext-2"/>
    <w:basedOn w:val="DefaultParagraphFont"/>
  </w:style>
  <w:style w:type="character" w:customStyle="1" w:styleId="enumlstr">
    <w:name w:val="enumlstr"/>
    <w:basedOn w:val="DefaultParagraphFont"/>
  </w:style>
  <w:style w:type="character" w:customStyle="1" w:styleId="ptext-3">
    <w:name w:val="ptext-3"/>
    <w:basedOn w:val="DefaultParagraphFont"/>
  </w:style>
  <w:style w:type="character" w:styleId="Hyperlink">
    <w:name w:val="Hyperlink"/>
    <w:basedOn w:val="DefaultParagraphFont"/>
    <w:semiHidden/>
    <w:rPr>
      <w:color w:val="0000FF"/>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Indent">
    <w:name w:val="Body Text Indent"/>
    <w:basedOn w:val="Normal"/>
    <w:semiHidden/>
    <w:pPr>
      <w:ind w:left="720" w:hanging="360"/>
    </w:pPr>
    <w:rPr>
      <w:rFonts w:ascii="Palatino Linotype" w:hAnsi="Palatino Linotype"/>
      <w:sz w:val="18"/>
    </w:rPr>
  </w:style>
  <w:style w:type="character" w:styleId="Strong">
    <w:name w:val="Strong"/>
    <w:basedOn w:val="DefaultParagraphFont"/>
    <w:qFormat/>
    <w:rPr>
      <w:b/>
      <w:bCs/>
    </w:rPr>
  </w:style>
  <w:style w:type="paragraph" w:styleId="BodyText">
    <w:name w:val="Body Text"/>
    <w:basedOn w:val="Normal"/>
    <w:semiHidden/>
    <w:pPr>
      <w:jc w:val="both"/>
    </w:pPr>
    <w:rPr>
      <w:rFonts w:ascii="Palatino Linotype" w:hAnsi="Palatino Linotype"/>
      <w:sz w:val="18"/>
    </w:rPr>
  </w:style>
  <w:style w:type="character" w:customStyle="1" w:styleId="seccatch">
    <w:name w:val="seccatch"/>
    <w:rPr>
      <w:b/>
      <w:bCs/>
    </w:rPr>
  </w:style>
  <w:style w:type="paragraph" w:styleId="BodyTextIndent2">
    <w:name w:val="Body Text Indent 2"/>
    <w:basedOn w:val="Normal"/>
    <w:semiHidden/>
    <w:pPr>
      <w:tabs>
        <w:tab w:val="left" w:pos="720"/>
        <w:tab w:val="left" w:pos="1080"/>
        <w:tab w:val="left" w:pos="1440"/>
        <w:tab w:val="left" w:pos="1800"/>
        <w:tab w:val="left" w:pos="2160"/>
        <w:tab w:val="left" w:pos="2520"/>
      </w:tabs>
      <w:ind w:left="720" w:hanging="540"/>
    </w:pPr>
    <w:rPr>
      <w:rFonts w:ascii="Palatino Linotype" w:hAnsi="Palatino Linotype" w:cs="Arial"/>
      <w:sz w:val="20"/>
    </w:rPr>
  </w:style>
  <w:style w:type="paragraph" w:styleId="BodyTextIndent3">
    <w:name w:val="Body Text Indent 3"/>
    <w:basedOn w:val="Normal"/>
    <w:semiHidden/>
    <w:pPr>
      <w:ind w:left="1080" w:hanging="360"/>
    </w:pPr>
    <w:rPr>
      <w:rFonts w:ascii="Palatino Linotype" w:hAnsi="Palatino Linotype" w:cs="Arial"/>
      <w:sz w:val="20"/>
    </w:rPr>
  </w:style>
  <w:style w:type="paragraph" w:styleId="BodyText2">
    <w:name w:val="Body Text 2"/>
    <w:basedOn w:val="Normal"/>
    <w:semiHidden/>
    <w:rPr>
      <w:rFonts w:ascii="Palatino Linotype" w:hAnsi="Palatino Linotype"/>
      <w:sz w:val="18"/>
    </w:r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41005E"/>
    <w:rPr>
      <w:rFonts w:ascii="Tahoma" w:hAnsi="Tahoma" w:cs="Tahoma"/>
      <w:sz w:val="16"/>
      <w:szCs w:val="16"/>
    </w:rPr>
  </w:style>
  <w:style w:type="character" w:customStyle="1" w:styleId="BalloonTextChar">
    <w:name w:val="Balloon Text Char"/>
    <w:basedOn w:val="DefaultParagraphFont"/>
    <w:link w:val="BalloonText"/>
    <w:uiPriority w:val="99"/>
    <w:semiHidden/>
    <w:rsid w:val="0041005E"/>
    <w:rPr>
      <w:rFonts w:ascii="Tahoma" w:hAnsi="Tahoma" w:cs="Tahoma"/>
      <w:sz w:val="16"/>
      <w:szCs w:val="16"/>
    </w:rPr>
  </w:style>
  <w:style w:type="numbering" w:customStyle="1" w:styleId="UICPermitList">
    <w:name w:val="UIC_Permit_List"/>
    <w:uiPriority w:val="99"/>
    <w:rsid w:val="00084FDC"/>
    <w:pPr>
      <w:numPr>
        <w:numId w:val="1"/>
      </w:numPr>
    </w:pPr>
  </w:style>
  <w:style w:type="paragraph" w:styleId="ListParagraph">
    <w:name w:val="List Paragraph"/>
    <w:basedOn w:val="Normal"/>
    <w:uiPriority w:val="34"/>
    <w:qFormat/>
    <w:rsid w:val="00135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10D9-9694-43C3-AEF2-26B0CD6D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5</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If you have any questions or comments, please feel free to contact Candace Cady by phone at (801) 538-9260 or by email at ccad</vt:lpstr>
    </vt:vector>
  </TitlesOfParts>
  <Company>State of Utah</Company>
  <LinksUpToDate>false</LinksUpToDate>
  <CharactersWithSpaces>13496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have any questions or comments, please feel free to contact Candace Cady by phone at (801) 538-9260 or by email at ccad</dc:title>
  <dc:creator>Candace C. Cady</dc:creator>
  <cp:lastModifiedBy>Candace Cady</cp:lastModifiedBy>
  <cp:revision>16</cp:revision>
  <cp:lastPrinted>2018-01-11T22:18:00Z</cp:lastPrinted>
  <dcterms:created xsi:type="dcterms:W3CDTF">2018-01-11T19:46:00Z</dcterms:created>
  <dcterms:modified xsi:type="dcterms:W3CDTF">2018-01-25T19:41:00Z</dcterms:modified>
</cp:coreProperties>
</file>