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000" w:firstRow="0" w:lastRow="0" w:firstColumn="0" w:lastColumn="0" w:noHBand="0" w:noVBand="0"/>
      </w:tblPr>
      <w:tblGrid>
        <w:gridCol w:w="936"/>
        <w:gridCol w:w="1267"/>
        <w:gridCol w:w="3353"/>
        <w:gridCol w:w="935"/>
        <w:gridCol w:w="4532"/>
      </w:tblGrid>
      <w:tr w:rsidR="009E2A0F">
        <w:trPr>
          <w:trHeight w:val="1761"/>
        </w:trPr>
        <w:tc>
          <w:tcPr>
            <w:tcW w:w="2203" w:type="dxa"/>
            <w:gridSpan w:val="2"/>
          </w:tcPr>
          <w:p w:rsidR="009E2A0F" w:rsidRDefault="00A23897" w:rsidP="00041DB3">
            <w:pPr>
              <w:jc w:val="center"/>
              <w:rPr>
                <w:rFonts w:ascii="Palatino Linotype" w:hAnsi="Palatino Linotype"/>
              </w:rPr>
            </w:pPr>
            <w:r>
              <w:br w:type="page"/>
            </w:r>
            <w:bookmarkStart w:id="0" w:name="_GoBack"/>
            <w:r w:rsidR="00D35C68">
              <w:rPr>
                <w:rFonts w:ascii="Palatino Linotype" w:hAnsi="Palatino Linotype"/>
                <w:noProof/>
              </w:rPr>
              <w:drawing>
                <wp:inline distT="0" distB="0" distL="0" distR="0">
                  <wp:extent cx="1212215" cy="1374775"/>
                  <wp:effectExtent l="0" t="0" r="6985" b="0"/>
                  <wp:docPr id="28" name="Picture 28" descr="C:\Users\ccady\Pictures\DWQ Logos\DEQ_WaterQuality_Final_Primary Vertical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cady\Pictures\DWQ Logos\DEQ_WaterQuality_Final_Primary Vertical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1374775"/>
                          </a:xfrm>
                          <a:prstGeom prst="rect">
                            <a:avLst/>
                          </a:prstGeom>
                          <a:noFill/>
                          <a:ln>
                            <a:noFill/>
                          </a:ln>
                        </pic:spPr>
                      </pic:pic>
                    </a:graphicData>
                  </a:graphic>
                </wp:inline>
              </w:drawing>
            </w:r>
            <w:bookmarkEnd w:id="0"/>
          </w:p>
        </w:tc>
        <w:tc>
          <w:tcPr>
            <w:tcW w:w="8820" w:type="dxa"/>
            <w:gridSpan w:val="3"/>
            <w:tcMar>
              <w:top w:w="86" w:type="dxa"/>
              <w:left w:w="115" w:type="dxa"/>
              <w:bottom w:w="86" w:type="dxa"/>
              <w:right w:w="115" w:type="dxa"/>
            </w:tcMar>
          </w:tcPr>
          <w:p w:rsidR="009E2A0F" w:rsidRDefault="00A23897">
            <w:pPr>
              <w:pStyle w:val="Heading2"/>
              <w:rPr>
                <w:sz w:val="36"/>
              </w:rPr>
            </w:pPr>
            <w:r>
              <w:rPr>
                <w:sz w:val="36"/>
              </w:rPr>
              <w:t>State of Utah</w:t>
            </w:r>
          </w:p>
          <w:p w:rsidR="009E2A0F" w:rsidRDefault="00A23897">
            <w:pPr>
              <w:jc w:val="center"/>
              <w:rPr>
                <w:rFonts w:ascii="Palatino Linotype" w:hAnsi="Palatino Linotype"/>
                <w:sz w:val="28"/>
              </w:rPr>
            </w:pPr>
            <w:r>
              <w:rPr>
                <w:rFonts w:ascii="Palatino Linotype" w:hAnsi="Palatino Linotype"/>
                <w:sz w:val="28"/>
              </w:rPr>
              <w:t>Department of Environmental Quality</w:t>
            </w:r>
          </w:p>
          <w:p w:rsidR="009E2A0F" w:rsidRDefault="00A23897">
            <w:pPr>
              <w:jc w:val="center"/>
              <w:rPr>
                <w:rFonts w:ascii="Palatino Linotype" w:hAnsi="Palatino Linotype"/>
              </w:rPr>
            </w:pPr>
            <w:r>
              <w:rPr>
                <w:rFonts w:ascii="Palatino Linotype" w:hAnsi="Palatino Linotype"/>
                <w:sz w:val="28"/>
              </w:rPr>
              <w:t>Division of Water Quality</w:t>
            </w:r>
          </w:p>
          <w:p w:rsidR="009E2A0F" w:rsidRDefault="00041DB3">
            <w:pPr>
              <w:spacing w:before="120"/>
              <w:jc w:val="center"/>
              <w:rPr>
                <w:rFonts w:ascii="Palatino Linotype" w:hAnsi="Palatino Linotype"/>
              </w:rPr>
            </w:pPr>
            <w:r>
              <w:rPr>
                <w:rFonts w:ascii="Palatino Linotype" w:hAnsi="Palatino Linotype"/>
              </w:rPr>
              <w:t>195</w:t>
            </w:r>
            <w:r w:rsidR="00A23897">
              <w:rPr>
                <w:rFonts w:ascii="Palatino Linotype" w:hAnsi="Palatino Linotype"/>
              </w:rPr>
              <w:t xml:space="preserve"> North 1</w:t>
            </w:r>
            <w:r>
              <w:rPr>
                <w:rFonts w:ascii="Palatino Linotype" w:hAnsi="Palatino Linotype"/>
              </w:rPr>
              <w:t>950</w:t>
            </w:r>
            <w:r w:rsidR="00A23897">
              <w:rPr>
                <w:rFonts w:ascii="Palatino Linotype" w:hAnsi="Palatino Linotype"/>
              </w:rPr>
              <w:t xml:space="preserve"> West</w:t>
            </w:r>
          </w:p>
          <w:p w:rsidR="009E2A0F" w:rsidRDefault="00A23897">
            <w:pPr>
              <w:jc w:val="center"/>
              <w:rPr>
                <w:rFonts w:ascii="Palatino Linotype" w:hAnsi="Palatino Linotype"/>
              </w:rPr>
            </w:pPr>
            <w:r>
              <w:rPr>
                <w:rFonts w:ascii="Palatino Linotype" w:hAnsi="Palatino Linotype"/>
              </w:rPr>
              <w:t>S</w:t>
            </w:r>
            <w:r w:rsidR="00041DB3">
              <w:rPr>
                <w:rFonts w:ascii="Palatino Linotype" w:hAnsi="Palatino Linotype"/>
              </w:rPr>
              <w:t>alt Lake City, Utah   84116</w:t>
            </w:r>
          </w:p>
        </w:tc>
      </w:tr>
      <w:tr w:rsidR="009E2A0F">
        <w:trPr>
          <w:cantSplit/>
        </w:trPr>
        <w:tc>
          <w:tcPr>
            <w:tcW w:w="11023" w:type="dxa"/>
            <w:gridSpan w:val="5"/>
            <w:tcMar>
              <w:top w:w="86" w:type="dxa"/>
              <w:left w:w="115" w:type="dxa"/>
              <w:bottom w:w="86" w:type="dxa"/>
              <w:right w:w="115" w:type="dxa"/>
            </w:tcMar>
          </w:tcPr>
          <w:p w:rsidR="009E2A0F" w:rsidRDefault="00A23897">
            <w:pPr>
              <w:jc w:val="center"/>
              <w:rPr>
                <w:b/>
                <w:bCs/>
                <w:sz w:val="32"/>
              </w:rPr>
            </w:pPr>
            <w:r>
              <w:rPr>
                <w:b/>
                <w:bCs/>
                <w:sz w:val="32"/>
              </w:rPr>
              <w:t>NOTICE OF INSPECTION</w:t>
            </w:r>
          </w:p>
          <w:p w:rsidR="009E2A0F" w:rsidRDefault="00A23897">
            <w:pPr>
              <w:jc w:val="center"/>
              <w:rPr>
                <w:rFonts w:ascii="Palatino Linotype" w:hAnsi="Palatino Linotype"/>
              </w:rPr>
            </w:pPr>
            <w:r>
              <w:rPr>
                <w:rFonts w:ascii="Palatino Linotype" w:hAnsi="Palatino Linotype"/>
              </w:rPr>
              <w:t>Underground Injection Control Program</w:t>
            </w:r>
          </w:p>
        </w:tc>
      </w:tr>
      <w:tr w:rsidR="009E2A0F">
        <w:tc>
          <w:tcPr>
            <w:tcW w:w="936" w:type="dxa"/>
            <w:tcMar>
              <w:top w:w="72" w:type="dxa"/>
              <w:left w:w="115" w:type="dxa"/>
              <w:bottom w:w="72" w:type="dxa"/>
              <w:right w:w="115" w:type="dxa"/>
            </w:tcMar>
          </w:tcPr>
          <w:p w:rsidR="009E2A0F" w:rsidRDefault="00A23897">
            <w:pPr>
              <w:jc w:val="both"/>
              <w:rPr>
                <w:rFonts w:ascii="Palatino Linotype" w:hAnsi="Palatino Linotype"/>
              </w:rPr>
            </w:pPr>
            <w:r>
              <w:rPr>
                <w:rFonts w:ascii="Palatino Linotype" w:hAnsi="Palatino Linotype"/>
              </w:rPr>
              <w:t>Date:</w:t>
            </w:r>
          </w:p>
        </w:tc>
        <w:tc>
          <w:tcPr>
            <w:tcW w:w="4620" w:type="dxa"/>
            <w:gridSpan w:val="2"/>
            <w:tcMar>
              <w:top w:w="72" w:type="dxa"/>
              <w:left w:w="115" w:type="dxa"/>
              <w:bottom w:w="72" w:type="dxa"/>
              <w:right w:w="115" w:type="dxa"/>
            </w:tcMar>
          </w:tcPr>
          <w:p w:rsidR="009E2A0F" w:rsidRDefault="009E2A0F">
            <w:pPr>
              <w:jc w:val="both"/>
              <w:rPr>
                <w:rFonts w:ascii="Palatino Linotype" w:hAnsi="Palatino Linotype"/>
              </w:rPr>
            </w:pPr>
          </w:p>
        </w:tc>
        <w:tc>
          <w:tcPr>
            <w:tcW w:w="935" w:type="dxa"/>
            <w:tcMar>
              <w:top w:w="72" w:type="dxa"/>
              <w:left w:w="115" w:type="dxa"/>
              <w:bottom w:w="72" w:type="dxa"/>
              <w:right w:w="115" w:type="dxa"/>
            </w:tcMar>
          </w:tcPr>
          <w:p w:rsidR="009E2A0F" w:rsidRDefault="00A23897">
            <w:pPr>
              <w:jc w:val="both"/>
              <w:rPr>
                <w:rFonts w:ascii="Palatino Linotype" w:hAnsi="Palatino Linotype"/>
              </w:rPr>
            </w:pPr>
            <w:r>
              <w:rPr>
                <w:rFonts w:ascii="Palatino Linotype" w:hAnsi="Palatino Linotype"/>
              </w:rPr>
              <w:t>Time:</w:t>
            </w:r>
          </w:p>
        </w:tc>
        <w:tc>
          <w:tcPr>
            <w:tcW w:w="4532" w:type="dxa"/>
            <w:tcMar>
              <w:top w:w="72" w:type="dxa"/>
              <w:left w:w="115" w:type="dxa"/>
              <w:bottom w:w="72" w:type="dxa"/>
              <w:right w:w="115" w:type="dxa"/>
            </w:tcMar>
          </w:tcPr>
          <w:p w:rsidR="009E2A0F" w:rsidRDefault="009E2A0F">
            <w:pPr>
              <w:jc w:val="both"/>
              <w:rPr>
                <w:rFonts w:ascii="Palatino Linotype" w:hAnsi="Palatino Linotype"/>
              </w:rPr>
            </w:pPr>
          </w:p>
        </w:tc>
      </w:tr>
      <w:tr w:rsidR="009E2A0F">
        <w:tc>
          <w:tcPr>
            <w:tcW w:w="5556" w:type="dxa"/>
            <w:gridSpan w:val="3"/>
            <w:tcMar>
              <w:top w:w="72" w:type="dxa"/>
              <w:left w:w="115" w:type="dxa"/>
              <w:bottom w:w="72" w:type="dxa"/>
              <w:right w:w="115" w:type="dxa"/>
            </w:tcMar>
          </w:tcPr>
          <w:p w:rsidR="009E2A0F" w:rsidRDefault="00A23897">
            <w:pPr>
              <w:jc w:val="both"/>
              <w:rPr>
                <w:rFonts w:ascii="Palatino Linotype" w:hAnsi="Palatino Linotype"/>
              </w:rPr>
            </w:pPr>
            <w:r>
              <w:rPr>
                <w:rFonts w:ascii="Palatino Linotype" w:hAnsi="Palatino Linotype"/>
              </w:rPr>
              <w:t>Name of Facility:</w:t>
            </w:r>
          </w:p>
        </w:tc>
        <w:tc>
          <w:tcPr>
            <w:tcW w:w="5467" w:type="dxa"/>
            <w:gridSpan w:val="2"/>
            <w:tcMar>
              <w:top w:w="72" w:type="dxa"/>
              <w:left w:w="115" w:type="dxa"/>
              <w:bottom w:w="72" w:type="dxa"/>
              <w:right w:w="115" w:type="dxa"/>
            </w:tcMar>
          </w:tcPr>
          <w:p w:rsidR="009E2A0F" w:rsidRDefault="00A23897">
            <w:pPr>
              <w:jc w:val="both"/>
              <w:rPr>
                <w:rFonts w:ascii="Palatino Linotype" w:hAnsi="Palatino Linotype"/>
              </w:rPr>
            </w:pPr>
            <w:r>
              <w:rPr>
                <w:rFonts w:ascii="Palatino Linotype" w:hAnsi="Palatino Linotype"/>
              </w:rPr>
              <w:t>Physical Address of Facility:</w:t>
            </w:r>
          </w:p>
        </w:tc>
      </w:tr>
      <w:tr w:rsidR="009E2A0F">
        <w:trPr>
          <w:trHeight w:val="1008"/>
        </w:trPr>
        <w:tc>
          <w:tcPr>
            <w:tcW w:w="5556" w:type="dxa"/>
            <w:gridSpan w:val="3"/>
            <w:tcBorders>
              <w:bottom w:val="single" w:sz="12" w:space="0" w:color="999999"/>
            </w:tcBorders>
            <w:tcMar>
              <w:top w:w="72" w:type="dxa"/>
              <w:left w:w="115" w:type="dxa"/>
              <w:bottom w:w="72" w:type="dxa"/>
              <w:right w:w="115" w:type="dxa"/>
            </w:tcMar>
          </w:tcPr>
          <w:p w:rsidR="009E2A0F" w:rsidRDefault="009E2A0F">
            <w:pPr>
              <w:jc w:val="both"/>
              <w:rPr>
                <w:rFonts w:ascii="Palatino Linotype" w:hAnsi="Palatino Linotype"/>
              </w:rPr>
            </w:pPr>
          </w:p>
        </w:tc>
        <w:tc>
          <w:tcPr>
            <w:tcW w:w="5467" w:type="dxa"/>
            <w:gridSpan w:val="2"/>
            <w:tcBorders>
              <w:bottom w:val="single" w:sz="12" w:space="0" w:color="999999"/>
            </w:tcBorders>
            <w:tcMar>
              <w:top w:w="72" w:type="dxa"/>
              <w:left w:w="115" w:type="dxa"/>
              <w:bottom w:w="72" w:type="dxa"/>
              <w:right w:w="115" w:type="dxa"/>
            </w:tcMar>
          </w:tcPr>
          <w:p w:rsidR="009E2A0F" w:rsidRDefault="009E2A0F">
            <w:pPr>
              <w:jc w:val="both"/>
              <w:rPr>
                <w:rFonts w:ascii="Palatino Linotype" w:hAnsi="Palatino Linotype"/>
              </w:rPr>
            </w:pPr>
          </w:p>
        </w:tc>
      </w:tr>
      <w:tr w:rsidR="009E2A0F">
        <w:tc>
          <w:tcPr>
            <w:tcW w:w="5556" w:type="dxa"/>
            <w:gridSpan w:val="3"/>
            <w:tcMar>
              <w:top w:w="72" w:type="dxa"/>
              <w:left w:w="115" w:type="dxa"/>
              <w:bottom w:w="72" w:type="dxa"/>
              <w:right w:w="115" w:type="dxa"/>
            </w:tcMar>
          </w:tcPr>
          <w:p w:rsidR="009E2A0F" w:rsidRDefault="00A23897">
            <w:pPr>
              <w:jc w:val="both"/>
              <w:rPr>
                <w:rFonts w:ascii="Palatino Linotype" w:hAnsi="Palatino Linotype"/>
              </w:rPr>
            </w:pPr>
            <w:r>
              <w:rPr>
                <w:rFonts w:ascii="Palatino Linotype" w:hAnsi="Palatino Linotype"/>
              </w:rPr>
              <w:t>Name and Title of Inspector(s):</w:t>
            </w:r>
          </w:p>
        </w:tc>
        <w:tc>
          <w:tcPr>
            <w:tcW w:w="5467" w:type="dxa"/>
            <w:gridSpan w:val="2"/>
            <w:tcMar>
              <w:top w:w="72" w:type="dxa"/>
              <w:left w:w="115" w:type="dxa"/>
              <w:bottom w:w="72" w:type="dxa"/>
              <w:right w:w="115" w:type="dxa"/>
            </w:tcMar>
          </w:tcPr>
          <w:p w:rsidR="009E2A0F" w:rsidRDefault="00A23897">
            <w:pPr>
              <w:jc w:val="both"/>
              <w:rPr>
                <w:rFonts w:ascii="Palatino Linotype" w:hAnsi="Palatino Linotype"/>
              </w:rPr>
            </w:pPr>
            <w:r>
              <w:rPr>
                <w:rFonts w:ascii="Palatino Linotype" w:hAnsi="Palatino Linotype"/>
              </w:rPr>
              <w:t>Signature of Inspector(s):</w:t>
            </w:r>
          </w:p>
        </w:tc>
      </w:tr>
      <w:tr w:rsidR="009E2A0F">
        <w:trPr>
          <w:trHeight w:val="1008"/>
        </w:trPr>
        <w:tc>
          <w:tcPr>
            <w:tcW w:w="5556" w:type="dxa"/>
            <w:gridSpan w:val="3"/>
            <w:tcMar>
              <w:top w:w="72" w:type="dxa"/>
              <w:left w:w="115" w:type="dxa"/>
              <w:bottom w:w="72" w:type="dxa"/>
              <w:right w:w="115" w:type="dxa"/>
            </w:tcMar>
          </w:tcPr>
          <w:p w:rsidR="009E2A0F" w:rsidRDefault="009E2A0F">
            <w:pPr>
              <w:jc w:val="both"/>
              <w:rPr>
                <w:rFonts w:ascii="Palatino Linotype" w:hAnsi="Palatino Linotype"/>
              </w:rPr>
            </w:pPr>
          </w:p>
        </w:tc>
        <w:tc>
          <w:tcPr>
            <w:tcW w:w="5467" w:type="dxa"/>
            <w:gridSpan w:val="2"/>
            <w:tcMar>
              <w:top w:w="72" w:type="dxa"/>
              <w:left w:w="115" w:type="dxa"/>
              <w:bottom w:w="72" w:type="dxa"/>
              <w:right w:w="115" w:type="dxa"/>
            </w:tcMar>
          </w:tcPr>
          <w:p w:rsidR="009E2A0F" w:rsidRDefault="009E2A0F">
            <w:pPr>
              <w:jc w:val="both"/>
              <w:rPr>
                <w:rFonts w:ascii="Palatino Linotype" w:hAnsi="Palatino Linotype"/>
              </w:rPr>
            </w:pPr>
          </w:p>
        </w:tc>
      </w:tr>
      <w:tr w:rsidR="009E2A0F">
        <w:trPr>
          <w:trHeight w:val="1008"/>
        </w:trPr>
        <w:tc>
          <w:tcPr>
            <w:tcW w:w="5556" w:type="dxa"/>
            <w:gridSpan w:val="3"/>
            <w:tcMar>
              <w:top w:w="72" w:type="dxa"/>
              <w:left w:w="115" w:type="dxa"/>
              <w:bottom w:w="72" w:type="dxa"/>
              <w:right w:w="115" w:type="dxa"/>
            </w:tcMar>
          </w:tcPr>
          <w:p w:rsidR="009E2A0F" w:rsidRDefault="009E2A0F">
            <w:pPr>
              <w:jc w:val="both"/>
              <w:rPr>
                <w:rFonts w:ascii="Palatino Linotype" w:hAnsi="Palatino Linotype"/>
              </w:rPr>
            </w:pPr>
          </w:p>
        </w:tc>
        <w:tc>
          <w:tcPr>
            <w:tcW w:w="5467" w:type="dxa"/>
            <w:gridSpan w:val="2"/>
            <w:tcMar>
              <w:top w:w="72" w:type="dxa"/>
              <w:left w:w="115" w:type="dxa"/>
              <w:bottom w:w="72" w:type="dxa"/>
              <w:right w:w="115" w:type="dxa"/>
            </w:tcMar>
          </w:tcPr>
          <w:p w:rsidR="009E2A0F" w:rsidRDefault="009E2A0F">
            <w:pPr>
              <w:jc w:val="both"/>
              <w:rPr>
                <w:rFonts w:ascii="Palatino Linotype" w:hAnsi="Palatino Linotype"/>
              </w:rPr>
            </w:pPr>
          </w:p>
        </w:tc>
      </w:tr>
      <w:tr w:rsidR="009E2A0F">
        <w:trPr>
          <w:trHeight w:val="1008"/>
        </w:trPr>
        <w:tc>
          <w:tcPr>
            <w:tcW w:w="5556" w:type="dxa"/>
            <w:gridSpan w:val="3"/>
            <w:tcMar>
              <w:top w:w="72" w:type="dxa"/>
              <w:left w:w="115" w:type="dxa"/>
              <w:bottom w:w="72" w:type="dxa"/>
              <w:right w:w="115" w:type="dxa"/>
            </w:tcMar>
          </w:tcPr>
          <w:p w:rsidR="009E2A0F" w:rsidRDefault="009E2A0F">
            <w:pPr>
              <w:jc w:val="both"/>
              <w:rPr>
                <w:rFonts w:ascii="Palatino Linotype" w:hAnsi="Palatino Linotype"/>
              </w:rPr>
            </w:pPr>
          </w:p>
        </w:tc>
        <w:tc>
          <w:tcPr>
            <w:tcW w:w="5467" w:type="dxa"/>
            <w:gridSpan w:val="2"/>
            <w:tcMar>
              <w:top w:w="72" w:type="dxa"/>
              <w:left w:w="115" w:type="dxa"/>
              <w:bottom w:w="72" w:type="dxa"/>
              <w:right w:w="115" w:type="dxa"/>
            </w:tcMar>
          </w:tcPr>
          <w:p w:rsidR="009E2A0F" w:rsidRDefault="009E2A0F">
            <w:pPr>
              <w:jc w:val="both"/>
              <w:rPr>
                <w:rFonts w:ascii="Palatino Linotype" w:hAnsi="Palatino Linotype"/>
              </w:rPr>
            </w:pPr>
          </w:p>
        </w:tc>
      </w:tr>
      <w:tr w:rsidR="009E2A0F">
        <w:tc>
          <w:tcPr>
            <w:tcW w:w="11023" w:type="dxa"/>
            <w:gridSpan w:val="5"/>
            <w:tcMar>
              <w:top w:w="72" w:type="dxa"/>
              <w:left w:w="115" w:type="dxa"/>
              <w:bottom w:w="72" w:type="dxa"/>
              <w:right w:w="115" w:type="dxa"/>
            </w:tcMar>
          </w:tcPr>
          <w:p w:rsidR="009E2A0F" w:rsidRDefault="00A23897">
            <w:pPr>
              <w:rPr>
                <w:rFonts w:ascii="Palatino Linotype" w:hAnsi="Palatino Linotype"/>
                <w:b/>
                <w:bCs/>
              </w:rPr>
            </w:pPr>
            <w:r>
              <w:rPr>
                <w:rFonts w:ascii="Palatino Linotype" w:hAnsi="Palatino Linotype"/>
                <w:b/>
                <w:bCs/>
                <w:sz w:val="28"/>
              </w:rPr>
              <w:t>Written Notice of Inspection</w:t>
            </w:r>
          </w:p>
          <w:p w:rsidR="009E2A0F" w:rsidRDefault="00A23897">
            <w:pPr>
              <w:jc w:val="both"/>
              <w:rPr>
                <w:rFonts w:ascii="Palatino Linotype" w:hAnsi="Palatino Linotype"/>
              </w:rPr>
            </w:pPr>
            <w:r>
              <w:rPr>
                <w:rFonts w:ascii="Palatino Linotype" w:hAnsi="Palatino Linotype"/>
              </w:rPr>
              <w:t>Is hereby given according to Section 1445 (b) of the Safe Drinking Water Act (42 U.S.C. 300j-4(b))</w:t>
            </w:r>
          </w:p>
        </w:tc>
      </w:tr>
      <w:tr w:rsidR="009E2A0F">
        <w:tc>
          <w:tcPr>
            <w:tcW w:w="11023" w:type="dxa"/>
            <w:gridSpan w:val="5"/>
            <w:tcMar>
              <w:top w:w="72" w:type="dxa"/>
              <w:left w:w="115" w:type="dxa"/>
              <w:bottom w:w="72" w:type="dxa"/>
              <w:right w:w="115" w:type="dxa"/>
            </w:tcMar>
          </w:tcPr>
          <w:p w:rsidR="009E2A0F" w:rsidRDefault="00A23897">
            <w:pPr>
              <w:rPr>
                <w:rFonts w:ascii="Palatino Linotype" w:hAnsi="Palatino Linotype"/>
                <w:b/>
                <w:bCs/>
                <w:sz w:val="28"/>
              </w:rPr>
            </w:pPr>
            <w:r>
              <w:rPr>
                <w:rFonts w:ascii="Palatino Linotype" w:hAnsi="Palatino Linotype"/>
                <w:b/>
                <w:bCs/>
                <w:sz w:val="28"/>
              </w:rPr>
              <w:t>Reason for Inspection</w:t>
            </w:r>
          </w:p>
          <w:p w:rsidR="009E2A0F" w:rsidRDefault="00A23897">
            <w:pPr>
              <w:jc w:val="both"/>
              <w:rPr>
                <w:rFonts w:ascii="Palatino Linotype" w:hAnsi="Palatino Linotype"/>
              </w:rPr>
            </w:pPr>
            <w:r>
              <w:rPr>
                <w:rFonts w:ascii="Palatino Linotype" w:hAnsi="Palatino Linotype"/>
              </w:rPr>
              <w:t>For the purpose of inspecting records, files, papers, processes, controls and facilities, and/or obtaining samples to determine whether the person subject to the Utah Underground Injection Control Program has acted, or is acting, in compliance with the Utah Water Quality, Safe Drinking Water and Resource Conservation and Recovery Acts and any applicable permit or rule.</w:t>
            </w:r>
          </w:p>
        </w:tc>
      </w:tr>
      <w:tr w:rsidR="009E2A0F">
        <w:trPr>
          <w:trHeight w:val="835"/>
        </w:trPr>
        <w:tc>
          <w:tcPr>
            <w:tcW w:w="11023" w:type="dxa"/>
            <w:gridSpan w:val="5"/>
            <w:tcBorders>
              <w:bottom w:val="single" w:sz="12" w:space="0" w:color="999999"/>
            </w:tcBorders>
            <w:tcMar>
              <w:top w:w="72" w:type="dxa"/>
              <w:left w:w="115" w:type="dxa"/>
              <w:bottom w:w="72" w:type="dxa"/>
              <w:right w:w="115" w:type="dxa"/>
            </w:tcMar>
          </w:tcPr>
          <w:p w:rsidR="009E2A0F" w:rsidRDefault="00A23897">
            <w:pPr>
              <w:rPr>
                <w:rFonts w:ascii="Palatino Linotype" w:hAnsi="Palatino Linotype"/>
                <w:b/>
                <w:bCs/>
              </w:rPr>
            </w:pPr>
            <w:r>
              <w:rPr>
                <w:rFonts w:ascii="Palatino Linotype" w:hAnsi="Palatino Linotype"/>
                <w:b/>
                <w:bCs/>
                <w:sz w:val="28"/>
              </w:rPr>
              <w:t>Authority to Conduct Inspection</w:t>
            </w:r>
          </w:p>
          <w:p w:rsidR="009E2A0F" w:rsidRDefault="00A23897">
            <w:pPr>
              <w:jc w:val="both"/>
              <w:rPr>
                <w:rFonts w:ascii="Palatino Linotype" w:hAnsi="Palatino Linotype"/>
              </w:rPr>
            </w:pPr>
            <w:r>
              <w:rPr>
                <w:rFonts w:ascii="Palatino Linotype" w:hAnsi="Palatino Linotype"/>
              </w:rPr>
              <w:t xml:space="preserve">Is given in: </w:t>
            </w:r>
            <w:r>
              <w:rPr>
                <w:rStyle w:val="Strong"/>
                <w:rFonts w:ascii="Palatino Linotype" w:hAnsi="Palatino Linotype"/>
                <w:b w:val="0"/>
                <w:bCs w:val="0"/>
              </w:rPr>
              <w:t>Section 19-5-113 of the Utah Water Quality Act;</w:t>
            </w:r>
            <w:r>
              <w:rPr>
                <w:rFonts w:ascii="Palatino Linotype" w:hAnsi="Palatino Linotype"/>
              </w:rPr>
              <w:t xml:space="preserve"> Section 1445 (b) of the Safe Drinking Water Act </w:t>
            </w:r>
            <w:proofErr w:type="gramStart"/>
            <w:r>
              <w:rPr>
                <w:rFonts w:ascii="Palatino Linotype" w:hAnsi="Palatino Linotype"/>
              </w:rPr>
              <w:t>(42 U.S.C. 300j-4(b))</w:t>
            </w:r>
            <w:proofErr w:type="gramEnd"/>
            <w:r>
              <w:rPr>
                <w:rFonts w:ascii="Palatino Linotype" w:hAnsi="Palatino Linotype"/>
              </w:rPr>
              <w:t>; Section 3007 (b) of the Resource Conservation and Recovery Act (</w:t>
            </w:r>
            <w:r>
              <w:rPr>
                <w:rStyle w:val="Strong"/>
                <w:rFonts w:ascii="Palatino Linotype" w:hAnsi="Palatino Linotype"/>
                <w:b w:val="0"/>
                <w:bCs w:val="0"/>
              </w:rPr>
              <w:t>42 U.S.C. 6927(a)).  Relevant portions of these statutes pertaining to inspections are reproduced on the back of this Notice of Inspection.</w:t>
            </w:r>
          </w:p>
        </w:tc>
      </w:tr>
    </w:tbl>
    <w:p w:rsidR="009E2A0F" w:rsidRDefault="009E2A0F">
      <w:pPr>
        <w:jc w:val="center"/>
        <w:rPr>
          <w:rFonts w:ascii="Palatino Linotype" w:hAnsi="Palatino Linotype"/>
        </w:rPr>
      </w:pPr>
    </w:p>
    <w:p w:rsidR="009E2A0F" w:rsidRDefault="009E2A0F">
      <w:pPr>
        <w:jc w:val="center"/>
        <w:rPr>
          <w:rFonts w:ascii="Palatino Linotype" w:hAnsi="Palatino Linotype"/>
        </w:rPr>
      </w:pPr>
    </w:p>
    <w:p w:rsidR="009E2A0F" w:rsidRDefault="00A23897">
      <w:pPr>
        <w:jc w:val="center"/>
        <w:rPr>
          <w:rFonts w:ascii="Palatino Linotype" w:eastAsia="Arial Unicode MS" w:hAnsi="Palatino Linotype"/>
          <w:b/>
          <w:bCs/>
        </w:rPr>
      </w:pPr>
      <w:r>
        <w:rPr>
          <w:rFonts w:ascii="Palatino Linotype" w:hAnsi="Palatino Linotype"/>
          <w:b/>
          <w:bCs/>
        </w:rPr>
        <w:t>Section 19-5-113(1) of the Utah Water Quality Act</w:t>
      </w:r>
    </w:p>
    <w:p w:rsidR="009E2A0F" w:rsidRDefault="009E2A0F">
      <w:pPr>
        <w:jc w:val="center"/>
        <w:rPr>
          <w:rFonts w:ascii="Palatino Linotype" w:hAnsi="Palatino Linotype"/>
          <w:sz w:val="20"/>
        </w:rPr>
      </w:pPr>
    </w:p>
    <w:p w:rsidR="009E2A0F" w:rsidRDefault="00A23897">
      <w:pPr>
        <w:jc w:val="both"/>
        <w:rPr>
          <w:rStyle w:val="seccatch"/>
          <w:rFonts w:ascii="Palatino Linotype" w:hAnsi="Palatino Linotype" w:cs="Arial"/>
          <w:sz w:val="18"/>
        </w:rPr>
      </w:pPr>
      <w:r>
        <w:rPr>
          <w:rFonts w:ascii="Palatino Linotype" w:hAnsi="Palatino Linotype"/>
          <w:b/>
          <w:bCs/>
          <w:sz w:val="18"/>
        </w:rPr>
        <w:t>19</w:t>
      </w:r>
      <w:r>
        <w:rPr>
          <w:rFonts w:ascii="Palatino Linotype" w:hAnsi="Palatino Linotype"/>
          <w:b/>
          <w:bCs/>
          <w:sz w:val="18"/>
        </w:rPr>
        <w:noBreakHyphen/>
        <w:t>5</w:t>
      </w:r>
      <w:r>
        <w:rPr>
          <w:rFonts w:ascii="Palatino Linotype" w:hAnsi="Palatino Linotype"/>
          <w:b/>
          <w:bCs/>
          <w:sz w:val="18"/>
        </w:rPr>
        <w:noBreakHyphen/>
        <w:t>113</w:t>
      </w:r>
      <w:r>
        <w:rPr>
          <w:rStyle w:val="seccatch"/>
          <w:rFonts w:ascii="Palatino Linotype" w:hAnsi="Palatino Linotype" w:cs="Arial"/>
          <w:b w:val="0"/>
          <w:bCs w:val="0"/>
          <w:sz w:val="18"/>
        </w:rPr>
        <w:tab/>
      </w:r>
      <w:r>
        <w:rPr>
          <w:rStyle w:val="seccatch"/>
          <w:rFonts w:ascii="Palatino Linotype" w:hAnsi="Palatino Linotype" w:cs="Arial"/>
          <w:b w:val="0"/>
          <w:bCs w:val="0"/>
          <w:sz w:val="18"/>
        </w:rPr>
        <w:tab/>
      </w:r>
      <w:r>
        <w:rPr>
          <w:rStyle w:val="seccatch"/>
          <w:rFonts w:ascii="Palatino Linotype" w:hAnsi="Palatino Linotype" w:cs="Arial"/>
          <w:sz w:val="18"/>
        </w:rPr>
        <w:t>Power of board to enter property for investigation—Records and reports required of owners or operators.</w:t>
      </w:r>
    </w:p>
    <w:p w:rsidR="009E2A0F" w:rsidRDefault="009E2A0F">
      <w:pPr>
        <w:jc w:val="both"/>
        <w:rPr>
          <w:rStyle w:val="seccatch"/>
          <w:rFonts w:ascii="Palatino Linotype" w:hAnsi="Palatino Linotype" w:cs="Arial"/>
          <w:sz w:val="18"/>
        </w:rPr>
      </w:pPr>
    </w:p>
    <w:p w:rsidR="009E2A0F" w:rsidRDefault="00A23897">
      <w:pPr>
        <w:pStyle w:val="BodyText2"/>
        <w:ind w:left="720" w:hanging="360"/>
        <w:jc w:val="both"/>
      </w:pPr>
      <w:r>
        <w:t>(1)</w:t>
      </w:r>
      <w:r>
        <w:tab/>
        <w:t>The board or its authorized representative has, after presentation of credentials, the authority to enter at reasonable times upon any private or public property for the purpose of:</w:t>
      </w:r>
    </w:p>
    <w:p w:rsidR="009E2A0F" w:rsidRDefault="00A23897">
      <w:pPr>
        <w:ind w:left="1080" w:hanging="360"/>
        <w:jc w:val="both"/>
        <w:rPr>
          <w:rFonts w:ascii="Palatino Linotype" w:hAnsi="Palatino Linotype"/>
          <w:sz w:val="18"/>
        </w:rPr>
      </w:pPr>
      <w:r>
        <w:rPr>
          <w:rFonts w:ascii="Palatino Linotype" w:hAnsi="Palatino Linotype"/>
          <w:sz w:val="18"/>
        </w:rPr>
        <w:t>(a)</w:t>
      </w:r>
      <w:r>
        <w:rPr>
          <w:rFonts w:ascii="Palatino Linotype" w:hAnsi="Palatino Linotype"/>
          <w:sz w:val="18"/>
        </w:rPr>
        <w:tab/>
        <w:t>sampling, inspecting, or investigating matters or conditions relating to pollution or the possible pollution of any waters of the state, effluents or effluent sources, monitoring equipment, or sewage sludge; and</w:t>
      </w:r>
    </w:p>
    <w:p w:rsidR="009E2A0F" w:rsidRDefault="00A23897">
      <w:pPr>
        <w:ind w:left="1080" w:hanging="360"/>
        <w:jc w:val="both"/>
      </w:pPr>
      <w:r>
        <w:rPr>
          <w:rFonts w:ascii="Palatino Linotype" w:hAnsi="Palatino Linotype"/>
          <w:sz w:val="18"/>
        </w:rPr>
        <w:t>(b)</w:t>
      </w:r>
      <w:r>
        <w:rPr>
          <w:rFonts w:ascii="Palatino Linotype" w:hAnsi="Palatino Linotype"/>
          <w:sz w:val="18"/>
        </w:rPr>
        <w:tab/>
      </w:r>
      <w:proofErr w:type="gramStart"/>
      <w:r>
        <w:rPr>
          <w:rFonts w:ascii="Palatino Linotype" w:hAnsi="Palatino Linotype"/>
          <w:sz w:val="18"/>
        </w:rPr>
        <w:t>reviewing</w:t>
      </w:r>
      <w:proofErr w:type="gramEnd"/>
      <w:r>
        <w:rPr>
          <w:rFonts w:ascii="Palatino Linotype" w:hAnsi="Palatino Linotype"/>
          <w:sz w:val="18"/>
        </w:rPr>
        <w:t xml:space="preserve"> and copying records required to be maintained under this chapter.</w:t>
      </w:r>
    </w:p>
    <w:p w:rsidR="009E2A0F" w:rsidRDefault="009E2A0F">
      <w:pPr>
        <w:jc w:val="center"/>
        <w:rPr>
          <w:rFonts w:ascii="Palatino Linotype" w:hAnsi="Palatino Linotype"/>
        </w:rPr>
      </w:pPr>
    </w:p>
    <w:p w:rsidR="009E2A0F" w:rsidRDefault="009E2A0F">
      <w:pPr>
        <w:jc w:val="center"/>
        <w:rPr>
          <w:rFonts w:ascii="Palatino Linotype" w:hAnsi="Palatino Linotype"/>
        </w:rPr>
      </w:pPr>
    </w:p>
    <w:p w:rsidR="009E2A0F" w:rsidRDefault="00A23897">
      <w:pPr>
        <w:jc w:val="center"/>
        <w:rPr>
          <w:rFonts w:ascii="Palatino Linotype" w:hAnsi="Palatino Linotype"/>
          <w:b/>
          <w:bCs/>
        </w:rPr>
      </w:pPr>
      <w:r>
        <w:rPr>
          <w:rFonts w:ascii="Palatino Linotype" w:hAnsi="Palatino Linotype"/>
          <w:b/>
          <w:bCs/>
        </w:rPr>
        <w:t>Section 1445(b</w:t>
      </w:r>
      <w:proofErr w:type="gramStart"/>
      <w:r>
        <w:rPr>
          <w:rFonts w:ascii="Palatino Linotype" w:hAnsi="Palatino Linotype"/>
          <w:b/>
          <w:bCs/>
        </w:rPr>
        <w:t>)(</w:t>
      </w:r>
      <w:proofErr w:type="gramEnd"/>
      <w:r>
        <w:rPr>
          <w:rFonts w:ascii="Palatino Linotype" w:hAnsi="Palatino Linotype"/>
          <w:b/>
          <w:bCs/>
        </w:rPr>
        <w:t>1) of the Safe Drinking Water Act (42 U.S.C. 300j-4 (b))</w:t>
      </w:r>
    </w:p>
    <w:p w:rsidR="009E2A0F" w:rsidRDefault="009E2A0F">
      <w:pPr>
        <w:jc w:val="center"/>
        <w:rPr>
          <w:rFonts w:ascii="Palatino Linotype" w:hAnsi="Palatino Linotype"/>
          <w:sz w:val="20"/>
        </w:rPr>
      </w:pPr>
    </w:p>
    <w:p w:rsidR="009E2A0F" w:rsidRDefault="00A23897">
      <w:pPr>
        <w:ind w:left="360" w:hanging="360"/>
        <w:jc w:val="both"/>
        <w:rPr>
          <w:rFonts w:ascii="Palatino Linotype" w:eastAsia="Arial Unicode MS" w:hAnsi="Palatino Linotype" w:cs="Arial Unicode MS"/>
          <w:b/>
          <w:bCs/>
          <w:sz w:val="18"/>
        </w:rPr>
      </w:pPr>
      <w:r>
        <w:rPr>
          <w:rStyle w:val="enumbell"/>
          <w:rFonts w:ascii="Palatino Linotype" w:hAnsi="Palatino Linotype"/>
          <w:b/>
          <w:bCs/>
          <w:sz w:val="18"/>
        </w:rPr>
        <w:t>(b)</w:t>
      </w:r>
      <w:r>
        <w:rPr>
          <w:rFonts w:ascii="Palatino Linotype" w:hAnsi="Palatino Linotype"/>
          <w:b/>
          <w:bCs/>
          <w:sz w:val="18"/>
        </w:rPr>
        <w:tab/>
        <w:t>Entry of establishments, facilities, or other property; inspections; conduct of certain tests; audit and examination of records; entry restrictions; prohibition against informing of a proposed entry</w:t>
      </w:r>
    </w:p>
    <w:p w:rsidR="009E2A0F" w:rsidRDefault="00A23897">
      <w:pPr>
        <w:ind w:left="720" w:hanging="360"/>
        <w:jc w:val="both"/>
        <w:rPr>
          <w:rFonts w:ascii="Palatino Linotype" w:hAnsi="Palatino Linotype"/>
          <w:sz w:val="18"/>
        </w:rPr>
      </w:pPr>
      <w:r>
        <w:rPr>
          <w:rStyle w:val="enumbell"/>
          <w:rFonts w:ascii="Palatino Linotype" w:hAnsi="Palatino Linotype"/>
          <w:sz w:val="18"/>
        </w:rPr>
        <w:t>(1)</w:t>
      </w:r>
      <w:r>
        <w:rPr>
          <w:rFonts w:ascii="Palatino Linotype" w:hAnsi="Palatino Linotype"/>
          <w:sz w:val="18"/>
        </w:rPr>
        <w:tab/>
      </w:r>
      <w:r>
        <w:rPr>
          <w:rStyle w:val="ptext-2"/>
          <w:rFonts w:ascii="Palatino Linotype" w:hAnsi="Palatino Linotype"/>
          <w:sz w:val="18"/>
        </w:rPr>
        <w:t xml:space="preserve">Except as provided in paragraph (2), the Administrator, or representatives of the Administrator duly designated by him, upon presenting appropriate credentials and a written notice to any supplier of water or other person subject to </w:t>
      </w:r>
    </w:p>
    <w:p w:rsidR="009E2A0F" w:rsidRDefault="00A23897">
      <w:pPr>
        <w:ind w:left="360" w:firstLine="360"/>
        <w:jc w:val="both"/>
        <w:rPr>
          <w:rFonts w:ascii="Palatino Linotype" w:hAnsi="Palatino Linotype"/>
          <w:sz w:val="18"/>
        </w:rPr>
      </w:pPr>
      <w:r>
        <w:rPr>
          <w:rStyle w:val="enumlstr"/>
          <w:rFonts w:ascii="Palatino Linotype" w:hAnsi="Palatino Linotype"/>
          <w:sz w:val="18"/>
        </w:rPr>
        <w:t>(A)</w:t>
      </w:r>
      <w:r>
        <w:rPr>
          <w:rFonts w:ascii="Palatino Linotype" w:hAnsi="Palatino Linotype"/>
          <w:sz w:val="18"/>
        </w:rPr>
        <w:tab/>
      </w:r>
      <w:proofErr w:type="gramStart"/>
      <w:r>
        <w:rPr>
          <w:rStyle w:val="ptext-3"/>
          <w:rFonts w:ascii="Palatino Linotype" w:hAnsi="Palatino Linotype"/>
          <w:sz w:val="18"/>
        </w:rPr>
        <w:t>a</w:t>
      </w:r>
      <w:proofErr w:type="gramEnd"/>
      <w:r>
        <w:rPr>
          <w:rStyle w:val="ptext-3"/>
          <w:rFonts w:ascii="Palatino Linotype" w:hAnsi="Palatino Linotype"/>
          <w:sz w:val="18"/>
        </w:rPr>
        <w:t xml:space="preserve"> national primary drinking water regulation prescribed under section 300g–1 of this title, </w:t>
      </w:r>
    </w:p>
    <w:p w:rsidR="009E2A0F" w:rsidRDefault="00A23897">
      <w:pPr>
        <w:ind w:left="360" w:firstLine="360"/>
        <w:jc w:val="both"/>
        <w:rPr>
          <w:rFonts w:ascii="Palatino Linotype" w:hAnsi="Palatino Linotype"/>
          <w:sz w:val="18"/>
        </w:rPr>
      </w:pPr>
      <w:r>
        <w:rPr>
          <w:rStyle w:val="enumlstr"/>
          <w:rFonts w:ascii="Palatino Linotype" w:hAnsi="Palatino Linotype"/>
          <w:sz w:val="18"/>
        </w:rPr>
        <w:t>(B)</w:t>
      </w:r>
      <w:r>
        <w:rPr>
          <w:rFonts w:ascii="Palatino Linotype" w:hAnsi="Palatino Linotype"/>
          <w:sz w:val="18"/>
        </w:rPr>
        <w:tab/>
      </w:r>
      <w:proofErr w:type="gramStart"/>
      <w:r>
        <w:rPr>
          <w:rStyle w:val="ptext-3"/>
          <w:rFonts w:ascii="Palatino Linotype" w:hAnsi="Palatino Linotype"/>
          <w:sz w:val="18"/>
        </w:rPr>
        <w:t>an</w:t>
      </w:r>
      <w:proofErr w:type="gramEnd"/>
      <w:r>
        <w:rPr>
          <w:rStyle w:val="ptext-3"/>
          <w:rFonts w:ascii="Palatino Linotype" w:hAnsi="Palatino Linotype"/>
          <w:sz w:val="18"/>
        </w:rPr>
        <w:t xml:space="preserve"> applicable underground injection control program, or </w:t>
      </w:r>
    </w:p>
    <w:p w:rsidR="009E2A0F" w:rsidRDefault="00A23897">
      <w:pPr>
        <w:ind w:left="1080" w:hanging="360"/>
        <w:jc w:val="both"/>
        <w:rPr>
          <w:rFonts w:ascii="Palatino Linotype" w:hAnsi="Palatino Linotype"/>
          <w:sz w:val="18"/>
        </w:rPr>
      </w:pPr>
      <w:r>
        <w:rPr>
          <w:rStyle w:val="enumlstr"/>
          <w:rFonts w:ascii="Palatino Linotype" w:hAnsi="Palatino Linotype"/>
          <w:sz w:val="18"/>
        </w:rPr>
        <w:t>(C)</w:t>
      </w:r>
      <w:r>
        <w:rPr>
          <w:rFonts w:ascii="Palatino Linotype" w:hAnsi="Palatino Linotype"/>
          <w:sz w:val="18"/>
        </w:rPr>
        <w:tab/>
      </w:r>
      <w:r>
        <w:rPr>
          <w:rStyle w:val="ptext-3"/>
          <w:rFonts w:ascii="Palatino Linotype" w:hAnsi="Palatino Linotype"/>
          <w:sz w:val="18"/>
        </w:rPr>
        <w:t xml:space="preserve">any requirement to monitor an unregulated contaminant pursuant to subsection (a) of this section, or person in charge of any of the property of such supplier or other person referred to in clause (A), (B), or (C), is authorized to enter any establishment, facility, or other property of such supplier or other person in order to determine whether such supplier or other person has acted or is acting in compliance with this subchapter, including for this purpose, inspection, at reasonable times, of records, files, papers, processes, controls, and facilities, or in order to test any feature of a public water system, including its raw water source.  The Administrator or the Comptroller General (or any representative designated by either) shall have access for the purpose of audit and examination to any records, reports, or information of </w:t>
      </w:r>
      <w:proofErr w:type="gramStart"/>
      <w:r>
        <w:rPr>
          <w:rStyle w:val="ptext-3"/>
          <w:rFonts w:ascii="Palatino Linotype" w:hAnsi="Palatino Linotype"/>
          <w:sz w:val="18"/>
        </w:rPr>
        <w:t>a grantee which are</w:t>
      </w:r>
      <w:proofErr w:type="gramEnd"/>
      <w:r>
        <w:rPr>
          <w:rStyle w:val="ptext-3"/>
          <w:rFonts w:ascii="Palatino Linotype" w:hAnsi="Palatino Linotype"/>
          <w:sz w:val="18"/>
        </w:rPr>
        <w:t xml:space="preserve"> required to be maintained under subsection (a) of this section or which are pertinent to any financial assistance under this subchapter. </w:t>
      </w:r>
    </w:p>
    <w:p w:rsidR="009E2A0F" w:rsidRDefault="009E2A0F">
      <w:pPr>
        <w:jc w:val="center"/>
        <w:rPr>
          <w:rFonts w:ascii="Palatino Linotype" w:hAnsi="Palatino Linotype"/>
        </w:rPr>
      </w:pPr>
    </w:p>
    <w:p w:rsidR="009E2A0F" w:rsidRDefault="009E2A0F">
      <w:pPr>
        <w:jc w:val="center"/>
        <w:rPr>
          <w:rFonts w:ascii="Palatino Linotype" w:hAnsi="Palatino Linotype"/>
        </w:rPr>
      </w:pPr>
    </w:p>
    <w:p w:rsidR="009E2A0F" w:rsidRDefault="00A23897">
      <w:pPr>
        <w:jc w:val="center"/>
        <w:rPr>
          <w:rFonts w:ascii="Palatino Linotype" w:eastAsia="Arial Unicode MS" w:hAnsi="Palatino Linotype"/>
          <w:b/>
          <w:bCs/>
        </w:rPr>
      </w:pPr>
      <w:r>
        <w:rPr>
          <w:rFonts w:ascii="Palatino Linotype" w:hAnsi="Palatino Linotype"/>
          <w:b/>
          <w:bCs/>
        </w:rPr>
        <w:t xml:space="preserve">Section 3007(a) of the Resource Conservation and Recovery Act </w:t>
      </w:r>
      <w:r>
        <w:rPr>
          <w:rFonts w:ascii="Palatino Linotype" w:hAnsi="Palatino Linotype"/>
        </w:rPr>
        <w:t>(</w:t>
      </w:r>
      <w:r>
        <w:rPr>
          <w:rStyle w:val="Strong"/>
          <w:rFonts w:ascii="Palatino Linotype" w:hAnsi="Palatino Linotype"/>
        </w:rPr>
        <w:t>42 U.S.C. 6927(a))</w:t>
      </w:r>
    </w:p>
    <w:p w:rsidR="009E2A0F" w:rsidRDefault="009E2A0F">
      <w:pPr>
        <w:jc w:val="center"/>
        <w:rPr>
          <w:rFonts w:ascii="Palatino Linotype" w:hAnsi="Palatino Linotype"/>
          <w:sz w:val="20"/>
        </w:rPr>
      </w:pPr>
    </w:p>
    <w:p w:rsidR="009E2A0F" w:rsidRDefault="00A23897">
      <w:pPr>
        <w:rPr>
          <w:rFonts w:ascii="Palatino Linotype" w:hAnsi="Palatino Linotype"/>
          <w:b/>
          <w:bCs/>
          <w:sz w:val="18"/>
        </w:rPr>
      </w:pPr>
      <w:r>
        <w:rPr>
          <w:rFonts w:ascii="Palatino Linotype" w:hAnsi="Palatino Linotype"/>
          <w:b/>
          <w:bCs/>
          <w:sz w:val="18"/>
        </w:rPr>
        <w:t>(a) Access entry</w:t>
      </w:r>
    </w:p>
    <w:p w:rsidR="009E2A0F" w:rsidRDefault="009E2A0F">
      <w:pPr>
        <w:rPr>
          <w:rFonts w:ascii="Palatino Linotype" w:hAnsi="Palatino Linotype"/>
          <w:sz w:val="18"/>
        </w:rPr>
      </w:pPr>
    </w:p>
    <w:p w:rsidR="009E2A0F" w:rsidRDefault="00A23897">
      <w:pPr>
        <w:pStyle w:val="BodyText"/>
      </w:pPr>
      <w:r>
        <w:t>For purposes of developing or assisting in the development of any regulation or enforcing the provisions of this chapter, any person who generates, stores, treats, transports, disposes of, or otherwise handles or has handled hazardous wastes shall, upon request of any officer, employee or representative of the Environmental Protection Agency, duly designated by the Administrator, or upon request of any duly designated officer, employee or representative of a State having an authorized hazardous waste program, furnish information relating to such wastes and permit such person at all reasonable times to have access to, and to copy all records relating to such wastes.  For the purposes of developing or assisting in the development of any regulation or enforcing the provisions of this chapter, such officers, employees or representatives are authorized--</w:t>
      </w:r>
    </w:p>
    <w:p w:rsidR="009E2A0F" w:rsidRDefault="00A23897">
      <w:pPr>
        <w:pStyle w:val="BodyTextIndent"/>
        <w:jc w:val="both"/>
      </w:pPr>
      <w:r>
        <w:t>(1)</w:t>
      </w:r>
      <w:r>
        <w:tab/>
      </w:r>
      <w:proofErr w:type="gramStart"/>
      <w:r>
        <w:t>to</w:t>
      </w:r>
      <w:proofErr w:type="gramEnd"/>
      <w:r>
        <w:t xml:space="preserve"> enter at reasonable times any establishment or other place where hazardous wastes are or have been generated, stored, treated, disposed of, or transported from;</w:t>
      </w:r>
    </w:p>
    <w:p w:rsidR="009E2A0F" w:rsidRDefault="00A23897">
      <w:pPr>
        <w:ind w:firstLine="360"/>
        <w:jc w:val="both"/>
        <w:rPr>
          <w:rFonts w:ascii="Palatino Linotype" w:hAnsi="Palatino Linotype"/>
          <w:sz w:val="18"/>
        </w:rPr>
      </w:pPr>
      <w:r>
        <w:rPr>
          <w:rFonts w:ascii="Palatino Linotype" w:hAnsi="Palatino Linotype"/>
          <w:sz w:val="18"/>
        </w:rPr>
        <w:t>(2)</w:t>
      </w:r>
      <w:r>
        <w:rPr>
          <w:rFonts w:ascii="Palatino Linotype" w:hAnsi="Palatino Linotype"/>
          <w:sz w:val="18"/>
        </w:rPr>
        <w:tab/>
      </w:r>
      <w:proofErr w:type="gramStart"/>
      <w:r>
        <w:rPr>
          <w:rFonts w:ascii="Palatino Linotype" w:hAnsi="Palatino Linotype"/>
          <w:sz w:val="18"/>
        </w:rPr>
        <w:t>to</w:t>
      </w:r>
      <w:proofErr w:type="gramEnd"/>
      <w:r>
        <w:rPr>
          <w:rFonts w:ascii="Palatino Linotype" w:hAnsi="Palatino Linotype"/>
          <w:sz w:val="18"/>
        </w:rPr>
        <w:t xml:space="preserve"> inspect and obtain samples from any person of any such wastes and samples of any containers or labeling for such wastes.</w:t>
      </w:r>
    </w:p>
    <w:p w:rsidR="009E2A0F" w:rsidRDefault="009E2A0F">
      <w:pPr>
        <w:jc w:val="both"/>
        <w:rPr>
          <w:rFonts w:ascii="Palatino Linotype" w:hAnsi="Palatino Linotype"/>
          <w:sz w:val="18"/>
        </w:rPr>
      </w:pPr>
    </w:p>
    <w:p w:rsidR="009E2A0F" w:rsidRDefault="00A23897">
      <w:pPr>
        <w:jc w:val="both"/>
        <w:rPr>
          <w:rFonts w:ascii="Palatino Linotype" w:hAnsi="Palatino Linotype"/>
          <w:sz w:val="18"/>
        </w:rPr>
      </w:pPr>
      <w:r>
        <w:rPr>
          <w:rFonts w:ascii="Palatino Linotype" w:hAnsi="Palatino Linotype"/>
          <w:sz w:val="18"/>
        </w:rPr>
        <w:t>Each such inspection shall be commenced and completed with reasonable promptness. If the officer, employee or representative obtains any samples, prior to leaving the premises, he shall give to the owner, operator, or agent in charge a receipt describing the sample obtained and if requested a portion of each such sample equal in volume or weight to the portion retained. If any analysis is made of such samples, a copy of the results of such analysis shall be furnished promptly to the owner, operator, or agent in charge.</w:t>
      </w:r>
    </w:p>
    <w:p w:rsidR="009E2A0F" w:rsidRDefault="009E2A0F">
      <w:pPr>
        <w:jc w:val="both"/>
        <w:rPr>
          <w:rFonts w:ascii="Palatino Linotype" w:hAnsi="Palatino Linotype"/>
        </w:rPr>
      </w:pPr>
    </w:p>
    <w:p w:rsidR="00A23897" w:rsidRDefault="00A23897">
      <w:pPr>
        <w:jc w:val="both"/>
        <w:rPr>
          <w:rFonts w:ascii="Palatino Linotype" w:hAnsi="Palatino Linotype"/>
        </w:rPr>
      </w:pPr>
    </w:p>
    <w:sectPr w:rsidR="00A23897" w:rsidSect="00EB0A19">
      <w:footerReference w:type="default" r:id="rId9"/>
      <w:footerReference w:type="first" r:id="rId10"/>
      <w:pgSz w:w="12240" w:h="15840" w:code="1"/>
      <w:pgMar w:top="720" w:right="720" w:bottom="720" w:left="720" w:header="0" w:footer="432"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CD" w:rsidRDefault="00DE08CD">
      <w:r>
        <w:separator/>
      </w:r>
    </w:p>
  </w:endnote>
  <w:endnote w:type="continuationSeparator" w:id="0">
    <w:p w:rsidR="00DE08CD" w:rsidRDefault="00DE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8B" w:rsidRPr="00C3478B" w:rsidRDefault="00974AD2" w:rsidP="00C3478B">
    <w:pPr>
      <w:pStyle w:val="Footer"/>
      <w:tabs>
        <w:tab w:val="clear" w:pos="4320"/>
        <w:tab w:val="clear" w:pos="8640"/>
      </w:tabs>
      <w:spacing w:before="120"/>
      <w:jc w:val="right"/>
      <w:rPr>
        <w:rFonts w:ascii="Palatino Linotype" w:hAnsi="Palatino Linotype"/>
        <w:color w:val="000000" w:themeColor="text1"/>
        <w:sz w:val="18"/>
      </w:rPr>
    </w:pPr>
    <w:r w:rsidRPr="00974AD2">
      <w:rPr>
        <w:rFonts w:ascii="Palatino Linotype" w:hAnsi="Palatino Linotype"/>
        <w:color w:val="00B0F0"/>
        <w:sz w:val="18"/>
      </w:rPr>
      <w:pict>
        <v:rect id="_x0000_i1026" style="width:540pt;height:2pt" o:hralign="center" o:hrstd="t" o:hrnoshade="t" o:hr="t" fillcolor="#1488a4" stroked="f"/>
      </w:pict>
    </w:r>
  </w:p>
  <w:p w:rsidR="009E2A0F" w:rsidRDefault="00A23897" w:rsidP="00C3478B">
    <w:pPr>
      <w:pStyle w:val="Footer"/>
      <w:tabs>
        <w:tab w:val="clear" w:pos="4320"/>
        <w:tab w:val="clear" w:pos="8640"/>
      </w:tabs>
      <w:spacing w:before="120"/>
      <w:jc w:val="right"/>
      <w:rPr>
        <w:rFonts w:ascii="Palatino Linotype" w:hAnsi="Palatino Linotype"/>
        <w:sz w:val="18"/>
      </w:rPr>
    </w:pPr>
    <w:r>
      <w:rPr>
        <w:rFonts w:ascii="Palatino Linotype" w:hAnsi="Palatino Linotype"/>
        <w:sz w:val="18"/>
      </w:rPr>
      <w:t xml:space="preserve">Last Revised:   </w:t>
    </w:r>
    <w:r w:rsidR="00041DB3">
      <w:rPr>
        <w:rFonts w:ascii="Palatino Linotype" w:hAnsi="Palatino Linotype"/>
        <w:sz w:val="18"/>
      </w:rPr>
      <w:t>11</w:t>
    </w:r>
    <w:r>
      <w:rPr>
        <w:rFonts w:ascii="Palatino Linotype" w:hAnsi="Palatino Linotype"/>
        <w:sz w:val="18"/>
      </w:rPr>
      <w:t xml:space="preserve"> </w:t>
    </w:r>
    <w:r w:rsidR="00041DB3">
      <w:rPr>
        <w:rFonts w:ascii="Palatino Linotype" w:hAnsi="Palatino Linotype"/>
        <w:sz w:val="18"/>
      </w:rPr>
      <w:t>January</w:t>
    </w:r>
    <w:r>
      <w:rPr>
        <w:rFonts w:ascii="Palatino Linotype" w:hAnsi="Palatino Linotype"/>
        <w:sz w:val="18"/>
      </w:rPr>
      <w:t xml:space="preserve"> 20</w:t>
    </w:r>
    <w:r w:rsidR="00041DB3">
      <w:rPr>
        <w:rFonts w:ascii="Palatino Linotype" w:hAnsi="Palatino Linotype"/>
        <w:sz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D2" w:rsidRPr="00C3478B" w:rsidRDefault="00974AD2" w:rsidP="00D35C68">
    <w:pPr>
      <w:pStyle w:val="Footer"/>
      <w:tabs>
        <w:tab w:val="clear" w:pos="4320"/>
        <w:tab w:val="clear" w:pos="8640"/>
        <w:tab w:val="right" w:pos="10800"/>
      </w:tabs>
      <w:rPr>
        <w:rFonts w:ascii="Palatino Linotype" w:hAnsi="Palatino Linotype"/>
        <w:sz w:val="18"/>
      </w:rPr>
    </w:pPr>
    <w:r w:rsidRPr="00974AD2">
      <w:rPr>
        <w:rFonts w:ascii="Palatino Linotype" w:hAnsi="Palatino Linotype"/>
        <w:color w:val="00B0F0"/>
        <w:sz w:val="18"/>
      </w:rPr>
      <w:pict>
        <v:rect id="_x0000_i1025" style="width:540pt;height:2pt" o:hralign="center" o:hrstd="t" o:hrnoshade="t" o:hr="t" fillcolor="#1488a4" stroked="f"/>
      </w:pict>
    </w:r>
  </w:p>
  <w:p w:rsidR="009E2A0F" w:rsidRPr="00D35C68" w:rsidRDefault="00A23897" w:rsidP="00C3478B">
    <w:pPr>
      <w:pStyle w:val="Footer"/>
      <w:tabs>
        <w:tab w:val="clear" w:pos="4320"/>
        <w:tab w:val="clear" w:pos="8640"/>
        <w:tab w:val="right" w:pos="10800"/>
      </w:tabs>
      <w:spacing w:before="120"/>
      <w:rPr>
        <w:rFonts w:ascii="Palatino Linotype" w:hAnsi="Palatino Linotype"/>
        <w:sz w:val="18"/>
      </w:rPr>
    </w:pPr>
    <w:r>
      <w:rPr>
        <w:rFonts w:ascii="Palatino Linotype" w:hAnsi="Palatino Linotype"/>
        <w:sz w:val="18"/>
      </w:rPr>
      <w:t>White Copy for DEQ/DWQ    /    Salmon Copy for Facility</w:t>
    </w:r>
    <w:r w:rsidR="00041DB3" w:rsidRPr="00041DB3">
      <w:rPr>
        <w:rFonts w:ascii="Palatino Linotype" w:hAnsi="Palatino Linotype"/>
        <w:sz w:val="18"/>
      </w:rPr>
      <w:t xml:space="preserve"> </w:t>
    </w:r>
    <w:r w:rsidR="00D35C68">
      <w:rPr>
        <w:rFonts w:ascii="Palatino Linotype" w:hAnsi="Palatino Linotype"/>
        <w:sz w:val="18"/>
      </w:rPr>
      <w:tab/>
    </w:r>
    <w:r w:rsidR="00041DB3">
      <w:rPr>
        <w:rFonts w:ascii="Palatino Linotype" w:hAnsi="Palatino Linotype"/>
        <w:sz w:val="18"/>
      </w:rPr>
      <w:t>Last Revised:   11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CD" w:rsidRDefault="00DE08CD">
      <w:r>
        <w:separator/>
      </w:r>
    </w:p>
  </w:footnote>
  <w:footnote w:type="continuationSeparator" w:id="0">
    <w:p w:rsidR="00DE08CD" w:rsidRDefault="00DE0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DD4"/>
    <w:multiLevelType w:val="hybridMultilevel"/>
    <w:tmpl w:val="B212F128"/>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847BF"/>
    <w:multiLevelType w:val="hybridMultilevel"/>
    <w:tmpl w:val="407E7BB8"/>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15638"/>
    <w:multiLevelType w:val="hybridMultilevel"/>
    <w:tmpl w:val="F96EBDAC"/>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9049D"/>
    <w:multiLevelType w:val="hybridMultilevel"/>
    <w:tmpl w:val="759C5436"/>
    <w:lvl w:ilvl="0" w:tplc="84F08B7C">
      <w:start w:val="1"/>
      <w:numFmt w:val="none"/>
      <w:lvlRestart w:val="0"/>
      <w:lvlText w:val="Subject:"/>
      <w:lvlJc w:val="left"/>
      <w:pPr>
        <w:tabs>
          <w:tab w:val="num" w:pos="1212"/>
        </w:tabs>
        <w:ind w:left="1212" w:hanging="1080"/>
      </w:pPr>
      <w:rPr>
        <w:rFonts w:hint="default"/>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4">
    <w:nsid w:val="0FAA1BB4"/>
    <w:multiLevelType w:val="hybridMultilevel"/>
    <w:tmpl w:val="0874BB34"/>
    <w:lvl w:ilvl="0" w:tplc="63CA9510">
      <w:start w:val="1"/>
      <w:numFmt w:val="none"/>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8B78DA"/>
    <w:multiLevelType w:val="hybridMultilevel"/>
    <w:tmpl w:val="303E0908"/>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E57F14"/>
    <w:multiLevelType w:val="hybridMultilevel"/>
    <w:tmpl w:val="F8080AE6"/>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0A44D0"/>
    <w:multiLevelType w:val="hybridMultilevel"/>
    <w:tmpl w:val="3D8C79F0"/>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13A1C"/>
    <w:multiLevelType w:val="hybridMultilevel"/>
    <w:tmpl w:val="14DECD38"/>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431417"/>
    <w:multiLevelType w:val="hybridMultilevel"/>
    <w:tmpl w:val="BF801F18"/>
    <w:lvl w:ilvl="0" w:tplc="3B3CD394">
      <w:start w:val="1"/>
      <w:numFmt w:val="none"/>
      <w:lvlText w:val="Subject:"/>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B72E26"/>
    <w:multiLevelType w:val="hybridMultilevel"/>
    <w:tmpl w:val="65E6B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373F6"/>
    <w:multiLevelType w:val="hybridMultilevel"/>
    <w:tmpl w:val="FAFC437C"/>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3D766A"/>
    <w:multiLevelType w:val="hybridMultilevel"/>
    <w:tmpl w:val="261EC166"/>
    <w:lvl w:ilvl="0" w:tplc="63CA9510">
      <w:start w:val="1"/>
      <w:numFmt w:val="none"/>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F32B8"/>
    <w:multiLevelType w:val="hybridMultilevel"/>
    <w:tmpl w:val="14BE08FE"/>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34850"/>
    <w:multiLevelType w:val="hybridMultilevel"/>
    <w:tmpl w:val="C80E586C"/>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06552"/>
    <w:multiLevelType w:val="hybridMultilevel"/>
    <w:tmpl w:val="867A61EA"/>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AA710B"/>
    <w:multiLevelType w:val="hybridMultilevel"/>
    <w:tmpl w:val="FD705ABA"/>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416AB0"/>
    <w:multiLevelType w:val="hybridMultilevel"/>
    <w:tmpl w:val="73E6A9D6"/>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A459E"/>
    <w:multiLevelType w:val="hybridMultilevel"/>
    <w:tmpl w:val="0C14AD7E"/>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757449"/>
    <w:multiLevelType w:val="hybridMultilevel"/>
    <w:tmpl w:val="ED7A230E"/>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1B5FFA"/>
    <w:multiLevelType w:val="hybridMultilevel"/>
    <w:tmpl w:val="8FAAD8C8"/>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9A4962"/>
    <w:multiLevelType w:val="hybridMultilevel"/>
    <w:tmpl w:val="CB622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56251D"/>
    <w:multiLevelType w:val="hybridMultilevel"/>
    <w:tmpl w:val="F9107E0A"/>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91FB4"/>
    <w:multiLevelType w:val="hybridMultilevel"/>
    <w:tmpl w:val="06320598"/>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5940E0"/>
    <w:multiLevelType w:val="hybridMultilevel"/>
    <w:tmpl w:val="2584B7FA"/>
    <w:lvl w:ilvl="0" w:tplc="3B3CD394">
      <w:start w:val="1"/>
      <w:numFmt w:val="none"/>
      <w:lvlText w:val="Subject:"/>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6B02D2"/>
    <w:multiLevelType w:val="hybridMultilevel"/>
    <w:tmpl w:val="D276727E"/>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371775"/>
    <w:multiLevelType w:val="hybridMultilevel"/>
    <w:tmpl w:val="34086E0A"/>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0448A9"/>
    <w:multiLevelType w:val="hybridMultilevel"/>
    <w:tmpl w:val="7C2AD88E"/>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271962"/>
    <w:multiLevelType w:val="hybridMultilevel"/>
    <w:tmpl w:val="F0AED61A"/>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45784C"/>
    <w:multiLevelType w:val="hybridMultilevel"/>
    <w:tmpl w:val="9F6EC476"/>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77AC6"/>
    <w:multiLevelType w:val="hybridMultilevel"/>
    <w:tmpl w:val="BAA0FCCC"/>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C840D3"/>
    <w:multiLevelType w:val="hybridMultilevel"/>
    <w:tmpl w:val="1AEC532C"/>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992AFB"/>
    <w:multiLevelType w:val="hybridMultilevel"/>
    <w:tmpl w:val="40428BCE"/>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0E2B8C"/>
    <w:multiLevelType w:val="hybridMultilevel"/>
    <w:tmpl w:val="9DE851B6"/>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A60D1E"/>
    <w:multiLevelType w:val="hybridMultilevel"/>
    <w:tmpl w:val="D16803EA"/>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AE1974"/>
    <w:multiLevelType w:val="hybridMultilevel"/>
    <w:tmpl w:val="547CA6B0"/>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1F7DFA"/>
    <w:multiLevelType w:val="hybridMultilevel"/>
    <w:tmpl w:val="63DAF932"/>
    <w:lvl w:ilvl="0" w:tplc="63CA9510">
      <w:start w:val="1"/>
      <w:numFmt w:val="none"/>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435DCC"/>
    <w:multiLevelType w:val="hybridMultilevel"/>
    <w:tmpl w:val="66BCB0F8"/>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180EFF"/>
    <w:multiLevelType w:val="hybridMultilevel"/>
    <w:tmpl w:val="F26481BE"/>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D742FB"/>
    <w:multiLevelType w:val="hybridMultilevel"/>
    <w:tmpl w:val="ADBC974C"/>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227473"/>
    <w:multiLevelType w:val="hybridMultilevel"/>
    <w:tmpl w:val="4274C1BC"/>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A2172C"/>
    <w:multiLevelType w:val="hybridMultilevel"/>
    <w:tmpl w:val="7092FC9C"/>
    <w:lvl w:ilvl="0" w:tplc="84F08B7C">
      <w:start w:val="1"/>
      <w:numFmt w:val="none"/>
      <w:lvlRestart w:val="0"/>
      <w:lvlText w:val="Subject:"/>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0"/>
  </w:num>
  <w:num w:numId="4">
    <w:abstractNumId w:val="24"/>
  </w:num>
  <w:num w:numId="5">
    <w:abstractNumId w:val="4"/>
  </w:num>
  <w:num w:numId="6">
    <w:abstractNumId w:val="12"/>
  </w:num>
  <w:num w:numId="7">
    <w:abstractNumId w:val="36"/>
  </w:num>
  <w:num w:numId="8">
    <w:abstractNumId w:val="26"/>
  </w:num>
  <w:num w:numId="9">
    <w:abstractNumId w:val="40"/>
  </w:num>
  <w:num w:numId="10">
    <w:abstractNumId w:val="33"/>
  </w:num>
  <w:num w:numId="11">
    <w:abstractNumId w:val="3"/>
  </w:num>
  <w:num w:numId="12">
    <w:abstractNumId w:val="38"/>
  </w:num>
  <w:num w:numId="13">
    <w:abstractNumId w:val="41"/>
  </w:num>
  <w:num w:numId="14">
    <w:abstractNumId w:val="19"/>
  </w:num>
  <w:num w:numId="15">
    <w:abstractNumId w:val="6"/>
  </w:num>
  <w:num w:numId="16">
    <w:abstractNumId w:val="23"/>
  </w:num>
  <w:num w:numId="17">
    <w:abstractNumId w:val="31"/>
  </w:num>
  <w:num w:numId="18">
    <w:abstractNumId w:val="11"/>
  </w:num>
  <w:num w:numId="19">
    <w:abstractNumId w:val="16"/>
  </w:num>
  <w:num w:numId="20">
    <w:abstractNumId w:val="39"/>
  </w:num>
  <w:num w:numId="21">
    <w:abstractNumId w:val="30"/>
  </w:num>
  <w:num w:numId="22">
    <w:abstractNumId w:val="37"/>
  </w:num>
  <w:num w:numId="23">
    <w:abstractNumId w:val="28"/>
  </w:num>
  <w:num w:numId="24">
    <w:abstractNumId w:val="14"/>
  </w:num>
  <w:num w:numId="25">
    <w:abstractNumId w:val="25"/>
  </w:num>
  <w:num w:numId="26">
    <w:abstractNumId w:val="32"/>
  </w:num>
  <w:num w:numId="27">
    <w:abstractNumId w:val="35"/>
  </w:num>
  <w:num w:numId="28">
    <w:abstractNumId w:val="2"/>
  </w:num>
  <w:num w:numId="29">
    <w:abstractNumId w:val="1"/>
  </w:num>
  <w:num w:numId="30">
    <w:abstractNumId w:val="29"/>
  </w:num>
  <w:num w:numId="31">
    <w:abstractNumId w:val="20"/>
  </w:num>
  <w:num w:numId="32">
    <w:abstractNumId w:val="0"/>
  </w:num>
  <w:num w:numId="33">
    <w:abstractNumId w:val="13"/>
  </w:num>
  <w:num w:numId="34">
    <w:abstractNumId w:val="15"/>
  </w:num>
  <w:num w:numId="35">
    <w:abstractNumId w:val="34"/>
  </w:num>
  <w:num w:numId="36">
    <w:abstractNumId w:val="22"/>
  </w:num>
  <w:num w:numId="37">
    <w:abstractNumId w:val="27"/>
  </w:num>
  <w:num w:numId="38">
    <w:abstractNumId w:val="17"/>
  </w:num>
  <w:num w:numId="39">
    <w:abstractNumId w:val="7"/>
  </w:num>
  <w:num w:numId="40">
    <w:abstractNumId w:val="18"/>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B3"/>
    <w:rsid w:val="00041DB3"/>
    <w:rsid w:val="00152934"/>
    <w:rsid w:val="0041005E"/>
    <w:rsid w:val="005522B1"/>
    <w:rsid w:val="00974AD2"/>
    <w:rsid w:val="009E2A0F"/>
    <w:rsid w:val="00A23897"/>
    <w:rsid w:val="00C3478B"/>
    <w:rsid w:val="00CC5C4F"/>
    <w:rsid w:val="00D35C68"/>
    <w:rsid w:val="00DE08CD"/>
    <w:rsid w:val="00EB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center"/>
      <w:outlineLvl w:val="1"/>
    </w:pPr>
    <w:rPr>
      <w:rFonts w:ascii="Palatino Linotype" w:hAnsi="Palatino Linotype"/>
      <w:b/>
      <w:bCs/>
      <w:sz w:val="32"/>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outlineLvl w:val="3"/>
    </w:pPr>
    <w:rPr>
      <w:rFonts w:ascii="Palatino Linotype" w:hAnsi="Palatino Linotype"/>
      <w:b/>
      <w:bCs/>
      <w:sz w:val="28"/>
    </w:rPr>
  </w:style>
  <w:style w:type="paragraph" w:styleId="Heading5">
    <w:name w:val="heading 5"/>
    <w:basedOn w:val="Normal"/>
    <w:next w:val="Normal"/>
    <w:qFormat/>
    <w:pPr>
      <w:keepNext/>
      <w:jc w:val="both"/>
      <w:outlineLvl w:val="4"/>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color w:val="000000"/>
    </w:rPr>
  </w:style>
  <w:style w:type="paragraph" w:styleId="CommentText">
    <w:name w:val="annotation text"/>
    <w:basedOn w:val="Normal"/>
    <w:semiHidden/>
    <w:rPr>
      <w:sz w:val="20"/>
      <w:szCs w:val="20"/>
    </w:rPr>
  </w:style>
  <w:style w:type="character" w:customStyle="1" w:styleId="enumbell">
    <w:name w:val="enumbell"/>
    <w:basedOn w:val="DefaultParagraphFont"/>
  </w:style>
  <w:style w:type="character" w:customStyle="1" w:styleId="ptext-2">
    <w:name w:val="ptext-2"/>
    <w:basedOn w:val="DefaultParagraphFont"/>
  </w:style>
  <w:style w:type="character" w:customStyle="1" w:styleId="enumlstr">
    <w:name w:val="enumlstr"/>
    <w:basedOn w:val="DefaultParagraphFont"/>
  </w:style>
  <w:style w:type="character" w:customStyle="1" w:styleId="ptext-3">
    <w:name w:val="ptext-3"/>
    <w:basedOn w:val="DefaultParagraphFont"/>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semiHidden/>
    <w:pPr>
      <w:ind w:left="720" w:hanging="360"/>
    </w:pPr>
    <w:rPr>
      <w:rFonts w:ascii="Palatino Linotype" w:hAnsi="Palatino Linotype"/>
      <w:sz w:val="18"/>
    </w:rPr>
  </w:style>
  <w:style w:type="character" w:styleId="Strong">
    <w:name w:val="Strong"/>
    <w:basedOn w:val="DefaultParagraphFont"/>
    <w:qFormat/>
    <w:rPr>
      <w:b/>
      <w:bCs/>
    </w:rPr>
  </w:style>
  <w:style w:type="paragraph" w:styleId="BodyText">
    <w:name w:val="Body Text"/>
    <w:basedOn w:val="Normal"/>
    <w:semiHidden/>
    <w:pPr>
      <w:jc w:val="both"/>
    </w:pPr>
    <w:rPr>
      <w:rFonts w:ascii="Palatino Linotype" w:hAnsi="Palatino Linotype"/>
      <w:sz w:val="18"/>
    </w:rPr>
  </w:style>
  <w:style w:type="character" w:customStyle="1" w:styleId="seccatch">
    <w:name w:val="seccatch"/>
    <w:rPr>
      <w:b/>
      <w:bCs/>
    </w:rPr>
  </w:style>
  <w:style w:type="paragraph" w:styleId="BodyTextIndent2">
    <w:name w:val="Body Text Indent 2"/>
    <w:basedOn w:val="Normal"/>
    <w:semiHidden/>
    <w:pPr>
      <w:tabs>
        <w:tab w:val="left" w:pos="720"/>
        <w:tab w:val="left" w:pos="1080"/>
        <w:tab w:val="left" w:pos="1440"/>
        <w:tab w:val="left" w:pos="1800"/>
        <w:tab w:val="left" w:pos="2160"/>
        <w:tab w:val="left" w:pos="2520"/>
      </w:tabs>
      <w:ind w:left="720" w:hanging="540"/>
    </w:pPr>
    <w:rPr>
      <w:rFonts w:ascii="Palatino Linotype" w:hAnsi="Palatino Linotype" w:cs="Arial"/>
      <w:sz w:val="20"/>
    </w:rPr>
  </w:style>
  <w:style w:type="paragraph" w:styleId="BodyTextIndent3">
    <w:name w:val="Body Text Indent 3"/>
    <w:basedOn w:val="Normal"/>
    <w:semiHidden/>
    <w:pPr>
      <w:ind w:left="1080" w:hanging="360"/>
    </w:pPr>
    <w:rPr>
      <w:rFonts w:ascii="Palatino Linotype" w:hAnsi="Palatino Linotype" w:cs="Arial"/>
      <w:sz w:val="20"/>
    </w:rPr>
  </w:style>
  <w:style w:type="paragraph" w:styleId="BodyText2">
    <w:name w:val="Body Text 2"/>
    <w:basedOn w:val="Normal"/>
    <w:semiHidden/>
    <w:rPr>
      <w:rFonts w:ascii="Palatino Linotype" w:hAnsi="Palatino Linotype"/>
      <w:sz w:val="18"/>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1005E"/>
    <w:rPr>
      <w:rFonts w:ascii="Tahoma" w:hAnsi="Tahoma" w:cs="Tahoma"/>
      <w:sz w:val="16"/>
      <w:szCs w:val="16"/>
    </w:rPr>
  </w:style>
  <w:style w:type="character" w:customStyle="1" w:styleId="BalloonTextChar">
    <w:name w:val="Balloon Text Char"/>
    <w:basedOn w:val="DefaultParagraphFont"/>
    <w:link w:val="BalloonText"/>
    <w:uiPriority w:val="99"/>
    <w:semiHidden/>
    <w:rsid w:val="00410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center"/>
      <w:outlineLvl w:val="1"/>
    </w:pPr>
    <w:rPr>
      <w:rFonts w:ascii="Palatino Linotype" w:hAnsi="Palatino Linotype"/>
      <w:b/>
      <w:bCs/>
      <w:sz w:val="32"/>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outlineLvl w:val="3"/>
    </w:pPr>
    <w:rPr>
      <w:rFonts w:ascii="Palatino Linotype" w:hAnsi="Palatino Linotype"/>
      <w:b/>
      <w:bCs/>
      <w:sz w:val="28"/>
    </w:rPr>
  </w:style>
  <w:style w:type="paragraph" w:styleId="Heading5">
    <w:name w:val="heading 5"/>
    <w:basedOn w:val="Normal"/>
    <w:next w:val="Normal"/>
    <w:qFormat/>
    <w:pPr>
      <w:keepNext/>
      <w:jc w:val="both"/>
      <w:outlineLvl w:val="4"/>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color w:val="000000"/>
    </w:rPr>
  </w:style>
  <w:style w:type="paragraph" w:styleId="CommentText">
    <w:name w:val="annotation text"/>
    <w:basedOn w:val="Normal"/>
    <w:semiHidden/>
    <w:rPr>
      <w:sz w:val="20"/>
      <w:szCs w:val="20"/>
    </w:rPr>
  </w:style>
  <w:style w:type="character" w:customStyle="1" w:styleId="enumbell">
    <w:name w:val="enumbell"/>
    <w:basedOn w:val="DefaultParagraphFont"/>
  </w:style>
  <w:style w:type="character" w:customStyle="1" w:styleId="ptext-2">
    <w:name w:val="ptext-2"/>
    <w:basedOn w:val="DefaultParagraphFont"/>
  </w:style>
  <w:style w:type="character" w:customStyle="1" w:styleId="enumlstr">
    <w:name w:val="enumlstr"/>
    <w:basedOn w:val="DefaultParagraphFont"/>
  </w:style>
  <w:style w:type="character" w:customStyle="1" w:styleId="ptext-3">
    <w:name w:val="ptext-3"/>
    <w:basedOn w:val="DefaultParagraphFont"/>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semiHidden/>
    <w:pPr>
      <w:ind w:left="720" w:hanging="360"/>
    </w:pPr>
    <w:rPr>
      <w:rFonts w:ascii="Palatino Linotype" w:hAnsi="Palatino Linotype"/>
      <w:sz w:val="18"/>
    </w:rPr>
  </w:style>
  <w:style w:type="character" w:styleId="Strong">
    <w:name w:val="Strong"/>
    <w:basedOn w:val="DefaultParagraphFont"/>
    <w:qFormat/>
    <w:rPr>
      <w:b/>
      <w:bCs/>
    </w:rPr>
  </w:style>
  <w:style w:type="paragraph" w:styleId="BodyText">
    <w:name w:val="Body Text"/>
    <w:basedOn w:val="Normal"/>
    <w:semiHidden/>
    <w:pPr>
      <w:jc w:val="both"/>
    </w:pPr>
    <w:rPr>
      <w:rFonts w:ascii="Palatino Linotype" w:hAnsi="Palatino Linotype"/>
      <w:sz w:val="18"/>
    </w:rPr>
  </w:style>
  <w:style w:type="character" w:customStyle="1" w:styleId="seccatch">
    <w:name w:val="seccatch"/>
    <w:rPr>
      <w:b/>
      <w:bCs/>
    </w:rPr>
  </w:style>
  <w:style w:type="paragraph" w:styleId="BodyTextIndent2">
    <w:name w:val="Body Text Indent 2"/>
    <w:basedOn w:val="Normal"/>
    <w:semiHidden/>
    <w:pPr>
      <w:tabs>
        <w:tab w:val="left" w:pos="720"/>
        <w:tab w:val="left" w:pos="1080"/>
        <w:tab w:val="left" w:pos="1440"/>
        <w:tab w:val="left" w:pos="1800"/>
        <w:tab w:val="left" w:pos="2160"/>
        <w:tab w:val="left" w:pos="2520"/>
      </w:tabs>
      <w:ind w:left="720" w:hanging="540"/>
    </w:pPr>
    <w:rPr>
      <w:rFonts w:ascii="Palatino Linotype" w:hAnsi="Palatino Linotype" w:cs="Arial"/>
      <w:sz w:val="20"/>
    </w:rPr>
  </w:style>
  <w:style w:type="paragraph" w:styleId="BodyTextIndent3">
    <w:name w:val="Body Text Indent 3"/>
    <w:basedOn w:val="Normal"/>
    <w:semiHidden/>
    <w:pPr>
      <w:ind w:left="1080" w:hanging="360"/>
    </w:pPr>
    <w:rPr>
      <w:rFonts w:ascii="Palatino Linotype" w:hAnsi="Palatino Linotype" w:cs="Arial"/>
      <w:sz w:val="20"/>
    </w:rPr>
  </w:style>
  <w:style w:type="paragraph" w:styleId="BodyText2">
    <w:name w:val="Body Text 2"/>
    <w:basedOn w:val="Normal"/>
    <w:semiHidden/>
    <w:rPr>
      <w:rFonts w:ascii="Palatino Linotype" w:hAnsi="Palatino Linotype"/>
      <w:sz w:val="18"/>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1005E"/>
    <w:rPr>
      <w:rFonts w:ascii="Tahoma" w:hAnsi="Tahoma" w:cs="Tahoma"/>
      <w:sz w:val="16"/>
      <w:szCs w:val="16"/>
    </w:rPr>
  </w:style>
  <w:style w:type="character" w:customStyle="1" w:styleId="BalloonTextChar">
    <w:name w:val="Balloon Text Char"/>
    <w:basedOn w:val="DefaultParagraphFont"/>
    <w:link w:val="BalloonText"/>
    <w:uiPriority w:val="99"/>
    <w:semiHidden/>
    <w:rsid w:val="00410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If you have any questions or comments, please feel free to contact Candace Cady by phone at (801) 538-9260 or by email at ccad</vt:lpstr>
    </vt:vector>
  </TitlesOfParts>
  <Company>State of Utah</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have any questions or comments, please feel free to contact Candace Cady by phone at (801) 538-9260 or by email at ccad</dc:title>
  <dc:creator>Candace C. Cady</dc:creator>
  <cp:lastModifiedBy>Candace Cady</cp:lastModifiedBy>
  <cp:revision>6</cp:revision>
  <cp:lastPrinted>2018-01-11T17:53:00Z</cp:lastPrinted>
  <dcterms:created xsi:type="dcterms:W3CDTF">2018-01-11T17:07:00Z</dcterms:created>
  <dcterms:modified xsi:type="dcterms:W3CDTF">2018-01-11T18:14:00Z</dcterms:modified>
</cp:coreProperties>
</file>