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A5" w:rsidRDefault="003418A5" w:rsidP="006B1AD6">
      <w:pPr>
        <w:widowControl/>
        <w:jc w:val="center"/>
        <w:rPr>
          <w:b/>
          <w:sz w:val="22"/>
          <w:szCs w:val="22"/>
        </w:rPr>
      </w:pPr>
    </w:p>
    <w:p w:rsidR="007A07E9" w:rsidRPr="007A07E9" w:rsidRDefault="007A07E9" w:rsidP="007A07E9">
      <w:pPr>
        <w:widowControl/>
        <w:jc w:val="center"/>
        <w:rPr>
          <w:b/>
          <w:sz w:val="22"/>
          <w:szCs w:val="22"/>
        </w:rPr>
      </w:pPr>
      <w:r w:rsidRPr="007A07E9">
        <w:rPr>
          <w:b/>
          <w:sz w:val="22"/>
          <w:szCs w:val="22"/>
        </w:rPr>
        <w:t>FACT SHEET STATEMENT OF BASIS</w:t>
      </w:r>
    </w:p>
    <w:p w:rsidR="007A07E9" w:rsidRPr="007A07E9" w:rsidRDefault="007A07E9" w:rsidP="007A07E9">
      <w:pPr>
        <w:keepNext/>
        <w:widowControl/>
        <w:jc w:val="center"/>
        <w:outlineLvl w:val="3"/>
        <w:rPr>
          <w:b/>
          <w:bCs/>
          <w:sz w:val="22"/>
          <w:szCs w:val="22"/>
        </w:rPr>
      </w:pPr>
      <w:r w:rsidRPr="007A07E9">
        <w:rPr>
          <w:b/>
          <w:bCs/>
          <w:sz w:val="22"/>
          <w:szCs w:val="22"/>
        </w:rPr>
        <w:t>TREMONTON WASTEWATER TREATMENT PLANT</w:t>
      </w:r>
    </w:p>
    <w:p w:rsidR="007A07E9" w:rsidRPr="007A07E9" w:rsidRDefault="007A07E9" w:rsidP="007A07E9">
      <w:pPr>
        <w:keepNext/>
        <w:jc w:val="center"/>
        <w:outlineLvl w:val="3"/>
        <w:rPr>
          <w:b/>
          <w:sz w:val="22"/>
          <w:szCs w:val="22"/>
        </w:rPr>
      </w:pPr>
      <w:r w:rsidRPr="007A07E9">
        <w:rPr>
          <w:b/>
          <w:sz w:val="22"/>
          <w:szCs w:val="22"/>
        </w:rPr>
        <w:t>RENEWAL PERMIT: DISCHARGE, BIOSOLIDS &amp; STORM WATER</w:t>
      </w:r>
    </w:p>
    <w:p w:rsidR="007A07E9" w:rsidRPr="007A07E9" w:rsidRDefault="007A07E9" w:rsidP="007A07E9">
      <w:pPr>
        <w:widowControl/>
        <w:jc w:val="center"/>
        <w:rPr>
          <w:b/>
          <w:bCs/>
          <w:sz w:val="22"/>
          <w:szCs w:val="22"/>
        </w:rPr>
      </w:pPr>
      <w:r w:rsidRPr="007A07E9">
        <w:rPr>
          <w:b/>
          <w:sz w:val="22"/>
          <w:szCs w:val="22"/>
        </w:rPr>
        <w:t xml:space="preserve">UPDES </w:t>
      </w:r>
      <w:r w:rsidR="00FE3D7E">
        <w:rPr>
          <w:b/>
          <w:sz w:val="22"/>
          <w:szCs w:val="22"/>
        </w:rPr>
        <w:t xml:space="preserve">DISCHARGE </w:t>
      </w:r>
      <w:r w:rsidRPr="007A07E9">
        <w:rPr>
          <w:b/>
          <w:sz w:val="22"/>
          <w:szCs w:val="22"/>
        </w:rPr>
        <w:t xml:space="preserve">PERMIT NUMBER: </w:t>
      </w:r>
      <w:r w:rsidRPr="007A07E9">
        <w:rPr>
          <w:b/>
          <w:bCs/>
          <w:sz w:val="22"/>
          <w:szCs w:val="22"/>
        </w:rPr>
        <w:t>UT0020303</w:t>
      </w:r>
    </w:p>
    <w:p w:rsidR="007A07E9" w:rsidRPr="007A07E9" w:rsidRDefault="007A07E9" w:rsidP="007A07E9">
      <w:pPr>
        <w:widowControl/>
        <w:jc w:val="center"/>
        <w:rPr>
          <w:b/>
          <w:bCs/>
          <w:sz w:val="22"/>
          <w:szCs w:val="22"/>
        </w:rPr>
      </w:pPr>
      <w:r w:rsidRPr="007A07E9">
        <w:rPr>
          <w:b/>
          <w:bCs/>
          <w:sz w:val="22"/>
          <w:szCs w:val="22"/>
        </w:rPr>
        <w:t>UPDES BIOSOLIDS PERMIT NUMBER: UTL-020303</w:t>
      </w:r>
    </w:p>
    <w:p w:rsidR="007A07E9" w:rsidRPr="007A07E9" w:rsidRDefault="007A07E9" w:rsidP="007A07E9">
      <w:pPr>
        <w:widowControl/>
        <w:jc w:val="center"/>
        <w:rPr>
          <w:b/>
          <w:sz w:val="22"/>
          <w:szCs w:val="22"/>
        </w:rPr>
      </w:pPr>
      <w:r w:rsidRPr="007A07E9">
        <w:rPr>
          <w:b/>
          <w:sz w:val="22"/>
          <w:szCs w:val="22"/>
        </w:rPr>
        <w:t>MAJOR MUNICIPAL</w:t>
      </w:r>
      <w:r w:rsidR="00FE3D7E">
        <w:rPr>
          <w:b/>
          <w:sz w:val="22"/>
          <w:szCs w:val="22"/>
        </w:rPr>
        <w:t xml:space="preserve"> FACILITY</w:t>
      </w:r>
    </w:p>
    <w:p w:rsidR="005537F4" w:rsidRPr="0065735C" w:rsidRDefault="005537F4" w:rsidP="006B1AD6">
      <w:pPr>
        <w:widowControl/>
        <w:jc w:val="center"/>
        <w:rPr>
          <w:b/>
          <w:color w:val="FF0000"/>
          <w:sz w:val="22"/>
          <w:szCs w:val="22"/>
        </w:rPr>
      </w:pPr>
      <w:r w:rsidRPr="0065735C">
        <w:rPr>
          <w:b/>
          <w:color w:val="FF0000"/>
          <w:sz w:val="22"/>
          <w:szCs w:val="22"/>
        </w:rPr>
        <w:t xml:space="preserve"> </w:t>
      </w:r>
    </w:p>
    <w:p w:rsidR="00B26B93" w:rsidRPr="00DE7149" w:rsidRDefault="00B26B93" w:rsidP="006B1AD6">
      <w:pPr>
        <w:widowControl/>
        <w:jc w:val="both"/>
        <w:rPr>
          <w:sz w:val="22"/>
          <w:szCs w:val="22"/>
        </w:rPr>
      </w:pPr>
    </w:p>
    <w:p w:rsidR="00151518" w:rsidRPr="00DE7149" w:rsidRDefault="00151518" w:rsidP="006B1AD6">
      <w:pPr>
        <w:pStyle w:val="Heading1"/>
        <w:rPr>
          <w:sz w:val="22"/>
          <w:szCs w:val="22"/>
        </w:rPr>
      </w:pPr>
      <w:r w:rsidRPr="00DE7149">
        <w:rPr>
          <w:sz w:val="22"/>
          <w:szCs w:val="22"/>
        </w:rPr>
        <w:t>FACILITY CONTACTS</w:t>
      </w:r>
    </w:p>
    <w:p w:rsidR="00151518" w:rsidRPr="00DE7149" w:rsidRDefault="00151518" w:rsidP="006B1AD6">
      <w:pPr>
        <w:tabs>
          <w:tab w:val="left" w:pos="-1440"/>
        </w:tabs>
        <w:ind w:left="3600" w:hanging="3600"/>
        <w:rPr>
          <w:sz w:val="22"/>
          <w:szCs w:val="22"/>
        </w:rPr>
      </w:pPr>
    </w:p>
    <w:p w:rsidR="005537F4" w:rsidRPr="0065735C" w:rsidRDefault="005537F4" w:rsidP="006B1AD6">
      <w:pPr>
        <w:tabs>
          <w:tab w:val="left" w:pos="-1440"/>
          <w:tab w:val="left" w:pos="2160"/>
          <w:tab w:val="left" w:pos="4320"/>
          <w:tab w:val="left" w:pos="6480"/>
        </w:tabs>
        <w:rPr>
          <w:color w:val="FF0000"/>
          <w:sz w:val="22"/>
          <w:szCs w:val="22"/>
        </w:rPr>
      </w:pPr>
      <w:r w:rsidRPr="0065735C">
        <w:rPr>
          <w:sz w:val="22"/>
          <w:szCs w:val="22"/>
        </w:rPr>
        <w:t>Person Name:</w:t>
      </w:r>
      <w:r w:rsidRPr="0065735C">
        <w:rPr>
          <w:sz w:val="22"/>
          <w:szCs w:val="22"/>
        </w:rPr>
        <w:tab/>
      </w:r>
      <w:r w:rsidR="004F5FC7">
        <w:rPr>
          <w:sz w:val="22"/>
          <w:szCs w:val="22"/>
        </w:rPr>
        <w:t>Paul Fulgham</w:t>
      </w:r>
      <w:r w:rsidRPr="0065735C">
        <w:rPr>
          <w:color w:val="FF0000"/>
          <w:sz w:val="22"/>
          <w:szCs w:val="22"/>
        </w:rPr>
        <w:tab/>
      </w:r>
    </w:p>
    <w:p w:rsidR="005537F4" w:rsidRPr="004F5FC7" w:rsidRDefault="005537F4" w:rsidP="006B1AD6">
      <w:pPr>
        <w:tabs>
          <w:tab w:val="left" w:pos="-1440"/>
          <w:tab w:val="left" w:pos="2160"/>
          <w:tab w:val="left" w:pos="4320"/>
          <w:tab w:val="left" w:pos="6480"/>
        </w:tabs>
        <w:rPr>
          <w:sz w:val="22"/>
          <w:szCs w:val="22"/>
        </w:rPr>
      </w:pPr>
      <w:r w:rsidRPr="0065735C">
        <w:rPr>
          <w:sz w:val="22"/>
          <w:szCs w:val="22"/>
        </w:rPr>
        <w:t>Position:</w:t>
      </w:r>
      <w:r w:rsidRPr="0065735C">
        <w:rPr>
          <w:sz w:val="22"/>
          <w:szCs w:val="22"/>
        </w:rPr>
        <w:tab/>
      </w:r>
      <w:r w:rsidR="004F5FC7" w:rsidRPr="004F5FC7">
        <w:rPr>
          <w:sz w:val="22"/>
          <w:szCs w:val="22"/>
        </w:rPr>
        <w:t>Public Works Director</w:t>
      </w:r>
      <w:r w:rsidRPr="004F5FC7">
        <w:rPr>
          <w:sz w:val="22"/>
          <w:szCs w:val="22"/>
        </w:rPr>
        <w:tab/>
      </w:r>
    </w:p>
    <w:p w:rsidR="005537F4" w:rsidRPr="0065735C" w:rsidRDefault="005537F4" w:rsidP="006B1AD6">
      <w:pPr>
        <w:tabs>
          <w:tab w:val="left" w:pos="-1440"/>
          <w:tab w:val="left" w:pos="2160"/>
          <w:tab w:val="left" w:pos="4320"/>
          <w:tab w:val="left" w:pos="6480"/>
        </w:tabs>
        <w:rPr>
          <w:color w:val="FF0000"/>
          <w:sz w:val="22"/>
          <w:szCs w:val="22"/>
        </w:rPr>
      </w:pPr>
      <w:r w:rsidRPr="004F5FC7">
        <w:rPr>
          <w:sz w:val="22"/>
          <w:szCs w:val="22"/>
        </w:rPr>
        <w:t>Phone Number:</w:t>
      </w:r>
      <w:r w:rsidRPr="004F5FC7">
        <w:rPr>
          <w:sz w:val="22"/>
          <w:szCs w:val="22"/>
        </w:rPr>
        <w:tab/>
      </w:r>
      <w:r w:rsidR="00467CC0">
        <w:rPr>
          <w:sz w:val="22"/>
          <w:szCs w:val="22"/>
        </w:rPr>
        <w:t>(435) 257-9471</w:t>
      </w:r>
      <w:r w:rsidRPr="0065735C">
        <w:rPr>
          <w:color w:val="FF0000"/>
          <w:sz w:val="22"/>
          <w:szCs w:val="22"/>
        </w:rPr>
        <w:tab/>
      </w:r>
      <w:r w:rsidRPr="0065735C">
        <w:rPr>
          <w:sz w:val="22"/>
          <w:szCs w:val="22"/>
        </w:rPr>
        <w:tab/>
      </w:r>
    </w:p>
    <w:p w:rsidR="005537F4" w:rsidRPr="0065735C" w:rsidRDefault="005537F4" w:rsidP="006B1AD6">
      <w:pPr>
        <w:tabs>
          <w:tab w:val="left" w:pos="-1440"/>
          <w:tab w:val="left" w:pos="2160"/>
          <w:tab w:val="left" w:pos="4320"/>
          <w:tab w:val="left" w:pos="6480"/>
        </w:tabs>
        <w:rPr>
          <w:color w:val="FF0000"/>
          <w:sz w:val="22"/>
          <w:szCs w:val="22"/>
        </w:rPr>
      </w:pPr>
    </w:p>
    <w:p w:rsidR="005537F4" w:rsidRPr="004F5FC7" w:rsidRDefault="005537F4" w:rsidP="006B1AD6">
      <w:pPr>
        <w:tabs>
          <w:tab w:val="left" w:pos="-1440"/>
          <w:tab w:val="left" w:pos="2160"/>
          <w:tab w:val="left" w:pos="3600"/>
          <w:tab w:val="left" w:pos="6480"/>
        </w:tabs>
        <w:rPr>
          <w:sz w:val="22"/>
          <w:szCs w:val="22"/>
        </w:rPr>
      </w:pPr>
      <w:r w:rsidRPr="0065735C">
        <w:rPr>
          <w:sz w:val="22"/>
          <w:szCs w:val="22"/>
        </w:rPr>
        <w:t>Facility Name:</w:t>
      </w:r>
      <w:r w:rsidRPr="0065735C">
        <w:rPr>
          <w:sz w:val="22"/>
          <w:szCs w:val="22"/>
        </w:rPr>
        <w:tab/>
      </w:r>
      <w:r w:rsidRPr="0065735C">
        <w:rPr>
          <w:sz w:val="22"/>
          <w:szCs w:val="22"/>
        </w:rPr>
        <w:tab/>
      </w:r>
      <w:r w:rsidR="004F5FC7" w:rsidRPr="004F5FC7">
        <w:rPr>
          <w:sz w:val="22"/>
          <w:szCs w:val="22"/>
        </w:rPr>
        <w:t>City of Tremonton</w:t>
      </w:r>
    </w:p>
    <w:p w:rsidR="005537F4" w:rsidRPr="004F5FC7" w:rsidRDefault="005537F4" w:rsidP="006B1AD6">
      <w:pPr>
        <w:tabs>
          <w:tab w:val="left" w:pos="-1440"/>
          <w:tab w:val="left" w:pos="2160"/>
          <w:tab w:val="left" w:pos="3600"/>
          <w:tab w:val="left" w:pos="6480"/>
        </w:tabs>
        <w:rPr>
          <w:sz w:val="22"/>
          <w:szCs w:val="22"/>
        </w:rPr>
      </w:pPr>
      <w:r w:rsidRPr="004F5FC7">
        <w:rPr>
          <w:sz w:val="22"/>
          <w:szCs w:val="22"/>
        </w:rPr>
        <w:t>Mailing and Facility Address:</w:t>
      </w:r>
      <w:r w:rsidRPr="004F5FC7">
        <w:rPr>
          <w:sz w:val="22"/>
          <w:szCs w:val="22"/>
        </w:rPr>
        <w:tab/>
      </w:r>
      <w:r w:rsidR="00467CC0">
        <w:rPr>
          <w:sz w:val="22"/>
          <w:szCs w:val="22"/>
        </w:rPr>
        <w:t xml:space="preserve">102 </w:t>
      </w:r>
      <w:r w:rsidR="004F5FC7" w:rsidRPr="004F5FC7">
        <w:rPr>
          <w:sz w:val="22"/>
          <w:szCs w:val="22"/>
        </w:rPr>
        <w:t>South</w:t>
      </w:r>
      <w:r w:rsidR="00467CC0">
        <w:rPr>
          <w:sz w:val="22"/>
          <w:szCs w:val="22"/>
        </w:rPr>
        <w:t xml:space="preserve"> Tremont Street</w:t>
      </w:r>
    </w:p>
    <w:p w:rsidR="005537F4" w:rsidRPr="004F5FC7" w:rsidRDefault="005537F4" w:rsidP="006B1AD6">
      <w:pPr>
        <w:tabs>
          <w:tab w:val="left" w:pos="-1440"/>
          <w:tab w:val="left" w:pos="2160"/>
          <w:tab w:val="left" w:pos="3600"/>
          <w:tab w:val="left" w:pos="6480"/>
        </w:tabs>
        <w:rPr>
          <w:sz w:val="22"/>
          <w:szCs w:val="22"/>
        </w:rPr>
      </w:pPr>
      <w:r w:rsidRPr="004F5FC7">
        <w:rPr>
          <w:sz w:val="22"/>
          <w:szCs w:val="22"/>
        </w:rPr>
        <w:tab/>
      </w:r>
      <w:r w:rsidRPr="004F5FC7">
        <w:rPr>
          <w:sz w:val="22"/>
          <w:szCs w:val="22"/>
        </w:rPr>
        <w:tab/>
      </w:r>
      <w:r w:rsidR="00467CC0">
        <w:rPr>
          <w:sz w:val="22"/>
          <w:szCs w:val="22"/>
        </w:rPr>
        <w:t>Tremonton, Utah  84337</w:t>
      </w:r>
      <w:r w:rsidRPr="004F5FC7">
        <w:rPr>
          <w:sz w:val="22"/>
          <w:szCs w:val="22"/>
        </w:rPr>
        <w:t xml:space="preserve"> </w:t>
      </w:r>
    </w:p>
    <w:p w:rsidR="005537F4" w:rsidRPr="004F5FC7" w:rsidRDefault="005537F4" w:rsidP="006B1AD6">
      <w:pPr>
        <w:tabs>
          <w:tab w:val="left" w:pos="-1440"/>
          <w:tab w:val="left" w:pos="2160"/>
          <w:tab w:val="left" w:pos="3600"/>
          <w:tab w:val="left" w:pos="6480"/>
        </w:tabs>
        <w:rPr>
          <w:sz w:val="22"/>
          <w:szCs w:val="22"/>
        </w:rPr>
      </w:pPr>
      <w:r w:rsidRPr="004F5FC7">
        <w:rPr>
          <w:sz w:val="22"/>
          <w:szCs w:val="22"/>
        </w:rPr>
        <w:t>Telephone:</w:t>
      </w:r>
      <w:r w:rsidRPr="004F5FC7">
        <w:rPr>
          <w:sz w:val="22"/>
          <w:szCs w:val="22"/>
        </w:rPr>
        <w:tab/>
      </w:r>
      <w:r w:rsidRPr="004F5FC7">
        <w:rPr>
          <w:sz w:val="22"/>
          <w:szCs w:val="22"/>
        </w:rPr>
        <w:tab/>
      </w:r>
      <w:r w:rsidR="004F5FC7" w:rsidRPr="004F5FC7">
        <w:rPr>
          <w:sz w:val="22"/>
          <w:szCs w:val="22"/>
        </w:rPr>
        <w:t>(435) 257-2674</w:t>
      </w:r>
    </w:p>
    <w:p w:rsidR="00CC751E" w:rsidRDefault="00CC751E" w:rsidP="006B1AD6">
      <w:pPr>
        <w:widowControl/>
        <w:rPr>
          <w:sz w:val="22"/>
          <w:szCs w:val="22"/>
        </w:rPr>
      </w:pPr>
      <w:r w:rsidRPr="004F5FC7">
        <w:rPr>
          <w:sz w:val="22"/>
          <w:szCs w:val="22"/>
        </w:rPr>
        <w:t>Actual Address:</w:t>
      </w:r>
      <w:r w:rsidRPr="004F5FC7">
        <w:rPr>
          <w:sz w:val="22"/>
          <w:szCs w:val="22"/>
        </w:rPr>
        <w:tab/>
      </w:r>
      <w:r w:rsidRPr="004F5FC7">
        <w:rPr>
          <w:sz w:val="22"/>
          <w:szCs w:val="22"/>
        </w:rPr>
        <w:tab/>
      </w:r>
      <w:r w:rsidRPr="004F5FC7">
        <w:rPr>
          <w:sz w:val="22"/>
          <w:szCs w:val="22"/>
        </w:rPr>
        <w:tab/>
      </w:r>
      <w:r w:rsidR="00E7717A" w:rsidRPr="004F5FC7">
        <w:rPr>
          <w:sz w:val="22"/>
          <w:szCs w:val="22"/>
        </w:rPr>
        <w:tab/>
      </w:r>
      <w:r w:rsidR="004F5FC7" w:rsidRPr="004F5FC7">
        <w:rPr>
          <w:sz w:val="22"/>
          <w:szCs w:val="22"/>
        </w:rPr>
        <w:t>30</w:t>
      </w:r>
      <w:r w:rsidR="00467CC0">
        <w:rPr>
          <w:sz w:val="22"/>
          <w:szCs w:val="22"/>
        </w:rPr>
        <w:t>0</w:t>
      </w:r>
      <w:r w:rsidR="004F5FC7" w:rsidRPr="004F5FC7">
        <w:rPr>
          <w:sz w:val="22"/>
          <w:szCs w:val="22"/>
        </w:rPr>
        <w:t xml:space="preserve"> East 1200 South</w:t>
      </w:r>
    </w:p>
    <w:p w:rsidR="00467CC0" w:rsidRPr="004F5FC7" w:rsidRDefault="00467CC0" w:rsidP="006B1AD6">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t>Tremonton, Utah  84337</w:t>
      </w:r>
    </w:p>
    <w:p w:rsidR="00151518" w:rsidRPr="00DE7149" w:rsidRDefault="00151518" w:rsidP="006B1AD6">
      <w:pPr>
        <w:widowControl/>
        <w:jc w:val="both"/>
        <w:rPr>
          <w:sz w:val="22"/>
          <w:szCs w:val="22"/>
        </w:rPr>
      </w:pPr>
    </w:p>
    <w:p w:rsidR="00B26B93" w:rsidRPr="0065735C" w:rsidRDefault="00B26B93" w:rsidP="006B1AD6">
      <w:pPr>
        <w:widowControl/>
        <w:jc w:val="both"/>
        <w:rPr>
          <w:sz w:val="22"/>
          <w:szCs w:val="22"/>
        </w:rPr>
      </w:pPr>
    </w:p>
    <w:p w:rsidR="00151518" w:rsidRPr="0065735C" w:rsidRDefault="00151518" w:rsidP="006B1AD6">
      <w:pPr>
        <w:pStyle w:val="Heading6"/>
        <w:widowControl/>
        <w:rPr>
          <w:bCs w:val="0"/>
          <w:sz w:val="22"/>
          <w:szCs w:val="22"/>
        </w:rPr>
      </w:pPr>
      <w:r w:rsidRPr="0065735C">
        <w:rPr>
          <w:bCs w:val="0"/>
          <w:sz w:val="22"/>
          <w:szCs w:val="22"/>
        </w:rPr>
        <w:t>DESCRIPTION OF FACILITY</w:t>
      </w:r>
    </w:p>
    <w:p w:rsidR="00151518" w:rsidRPr="0065735C" w:rsidRDefault="00151518" w:rsidP="006B1AD6">
      <w:pPr>
        <w:widowControl/>
        <w:jc w:val="both"/>
        <w:rPr>
          <w:sz w:val="22"/>
          <w:szCs w:val="22"/>
        </w:rPr>
      </w:pPr>
    </w:p>
    <w:p w:rsidR="004F5FC7" w:rsidRPr="004F5FC7" w:rsidRDefault="004F5FC7" w:rsidP="004F5FC7">
      <w:pPr>
        <w:widowControl/>
        <w:jc w:val="both"/>
        <w:rPr>
          <w:sz w:val="22"/>
          <w:szCs w:val="22"/>
        </w:rPr>
      </w:pPr>
      <w:r w:rsidRPr="004F5FC7">
        <w:rPr>
          <w:sz w:val="22"/>
          <w:szCs w:val="22"/>
        </w:rPr>
        <w:t>Tremonton Wastewater Treatment Plant (TWWTP) has a</w:t>
      </w:r>
      <w:r w:rsidR="006924A4">
        <w:rPr>
          <w:sz w:val="22"/>
          <w:szCs w:val="22"/>
        </w:rPr>
        <w:t>n average</w:t>
      </w:r>
      <w:r w:rsidRPr="004F5FC7">
        <w:rPr>
          <w:sz w:val="22"/>
          <w:szCs w:val="22"/>
        </w:rPr>
        <w:t xml:space="preserve"> design flow rate of 2.0 million gallo</w:t>
      </w:r>
      <w:r w:rsidR="001F7623">
        <w:rPr>
          <w:sz w:val="22"/>
          <w:szCs w:val="22"/>
        </w:rPr>
        <w:t xml:space="preserve">ns per day (MGD) and </w:t>
      </w:r>
      <w:r w:rsidRPr="004F5FC7">
        <w:rPr>
          <w:sz w:val="22"/>
          <w:szCs w:val="22"/>
        </w:rPr>
        <w:t>serves the cities of Tremonton and</w:t>
      </w:r>
      <w:r w:rsidR="007E7F8A">
        <w:rPr>
          <w:sz w:val="22"/>
          <w:szCs w:val="22"/>
        </w:rPr>
        <w:t xml:space="preserve"> Garland in Box Elder County, Utah.  The </w:t>
      </w:r>
      <w:r w:rsidR="001F7623">
        <w:rPr>
          <w:sz w:val="22"/>
          <w:szCs w:val="22"/>
        </w:rPr>
        <w:t>TWWTP facility</w:t>
      </w:r>
      <w:r w:rsidR="007E7F8A">
        <w:rPr>
          <w:sz w:val="22"/>
          <w:szCs w:val="22"/>
        </w:rPr>
        <w:t xml:space="preserve"> domestic waste water</w:t>
      </w:r>
      <w:r w:rsidR="001F7623">
        <w:rPr>
          <w:sz w:val="22"/>
          <w:szCs w:val="22"/>
        </w:rPr>
        <w:t xml:space="preserve"> flow process is as follows</w:t>
      </w:r>
      <w:r w:rsidRPr="004F5FC7">
        <w:rPr>
          <w:sz w:val="22"/>
          <w:szCs w:val="22"/>
        </w:rPr>
        <w:t>:</w:t>
      </w:r>
      <w:r w:rsidR="001F7623">
        <w:rPr>
          <w:sz w:val="22"/>
          <w:szCs w:val="22"/>
        </w:rPr>
        <w:t xml:space="preserve"> influent flow and</w:t>
      </w:r>
      <w:r w:rsidRPr="004F5FC7">
        <w:rPr>
          <w:sz w:val="22"/>
          <w:szCs w:val="22"/>
        </w:rPr>
        <w:t xml:space="preserve"> head works with micro-screen and grit filter, a primary clarifier, two aerator basins containing four aerators each, two secondary clarifiers operated in parallel, and ultra-violet (UV) disinfection.  The </w:t>
      </w:r>
      <w:r w:rsidR="007E7F8A">
        <w:rPr>
          <w:sz w:val="22"/>
          <w:szCs w:val="22"/>
        </w:rPr>
        <w:t xml:space="preserve">discharging </w:t>
      </w:r>
      <w:r w:rsidRPr="004F5FC7">
        <w:rPr>
          <w:sz w:val="22"/>
          <w:szCs w:val="22"/>
        </w:rPr>
        <w:t xml:space="preserve">outfall </w:t>
      </w:r>
      <w:r w:rsidR="007E7F8A">
        <w:rPr>
          <w:sz w:val="22"/>
          <w:szCs w:val="22"/>
        </w:rPr>
        <w:t xml:space="preserve">into the Malad River </w:t>
      </w:r>
      <w:r w:rsidRPr="004F5FC7">
        <w:rPr>
          <w:sz w:val="22"/>
          <w:szCs w:val="22"/>
        </w:rPr>
        <w:t xml:space="preserve">is located </w:t>
      </w:r>
      <w:r w:rsidR="007E7F8A">
        <w:rPr>
          <w:sz w:val="22"/>
          <w:szCs w:val="22"/>
        </w:rPr>
        <w:t xml:space="preserve">on site </w:t>
      </w:r>
      <w:r w:rsidRPr="004F5FC7">
        <w:rPr>
          <w:sz w:val="22"/>
          <w:szCs w:val="22"/>
        </w:rPr>
        <w:t xml:space="preserve">at latitude 40° 41’ 57” and longitude 112° 09’ 36”.  </w:t>
      </w:r>
    </w:p>
    <w:p w:rsidR="00151518" w:rsidRPr="004F5FC7" w:rsidRDefault="00151518" w:rsidP="006B1AD6">
      <w:pPr>
        <w:widowControl/>
        <w:jc w:val="both"/>
        <w:rPr>
          <w:color w:val="FF0000"/>
          <w:sz w:val="22"/>
          <w:szCs w:val="22"/>
        </w:rPr>
      </w:pPr>
    </w:p>
    <w:p w:rsidR="00A8432D" w:rsidRPr="0065735C" w:rsidRDefault="00A8432D" w:rsidP="006B1AD6">
      <w:pPr>
        <w:widowControl/>
        <w:jc w:val="both"/>
        <w:rPr>
          <w:sz w:val="22"/>
          <w:szCs w:val="22"/>
        </w:rPr>
      </w:pPr>
    </w:p>
    <w:p w:rsidR="00151518" w:rsidRPr="0065735C" w:rsidRDefault="00151518" w:rsidP="006B1AD6">
      <w:pPr>
        <w:pStyle w:val="Heading6"/>
        <w:widowControl/>
        <w:rPr>
          <w:bCs w:val="0"/>
          <w:sz w:val="22"/>
          <w:szCs w:val="22"/>
        </w:rPr>
      </w:pPr>
      <w:r w:rsidRPr="0065735C">
        <w:rPr>
          <w:bCs w:val="0"/>
          <w:sz w:val="22"/>
          <w:szCs w:val="22"/>
        </w:rPr>
        <w:t>SUMMARY OF CHANGES FROM PREVIOUS PERMIT</w:t>
      </w:r>
    </w:p>
    <w:p w:rsidR="00151518" w:rsidRDefault="00151518" w:rsidP="006B1AD6">
      <w:pPr>
        <w:widowControl/>
        <w:jc w:val="both"/>
        <w:rPr>
          <w:bCs/>
          <w:sz w:val="22"/>
          <w:szCs w:val="22"/>
        </w:rPr>
      </w:pPr>
    </w:p>
    <w:p w:rsidR="004F5FC7" w:rsidRPr="004F5FC7" w:rsidRDefault="004F5FC7" w:rsidP="006B1AD6">
      <w:pPr>
        <w:widowControl/>
        <w:jc w:val="both"/>
        <w:rPr>
          <w:bCs/>
          <w:sz w:val="22"/>
          <w:szCs w:val="22"/>
        </w:rPr>
      </w:pPr>
      <w:r w:rsidRPr="004F5FC7">
        <w:rPr>
          <w:sz w:val="22"/>
          <w:szCs w:val="22"/>
        </w:rPr>
        <w:t>All limitations will remain the same as those in the previous permit.  Based on effluent monitoring data and the capacity of the existing treatment facility, TWWTP is expected to be able to comply with the limitations.</w:t>
      </w:r>
    </w:p>
    <w:p w:rsidR="007238FF" w:rsidRPr="004F5FC7" w:rsidRDefault="007238FF" w:rsidP="006B1AD6">
      <w:pPr>
        <w:widowControl/>
        <w:jc w:val="both"/>
        <w:rPr>
          <w:b/>
          <w:sz w:val="22"/>
          <w:szCs w:val="22"/>
          <w:u w:val="single"/>
        </w:rPr>
      </w:pPr>
    </w:p>
    <w:p w:rsidR="007238FF" w:rsidRPr="001779DF" w:rsidRDefault="007238FF" w:rsidP="007238FF">
      <w:pPr>
        <w:widowControl/>
        <w:jc w:val="both"/>
        <w:rPr>
          <w:sz w:val="22"/>
          <w:szCs w:val="22"/>
        </w:rPr>
      </w:pPr>
      <w:r w:rsidRPr="001779DF">
        <w:rPr>
          <w:sz w:val="22"/>
          <w:szCs w:val="22"/>
        </w:rPr>
        <w:t>Water Quality adopted UAC R317-1-3.3, Technology-Based Phosphorus Effluent Limit (TBPEL) Rule in 2014. The TBPEL rule as it relates to "non-lagoon" wastewater treatment plants establishes new regulations for the discharge of phosphorus to surface waters and is self-implementing. The TBPEL rule includes the following requirements for non-lagoon wastewater treatment plants:</w:t>
      </w:r>
    </w:p>
    <w:p w:rsidR="007238FF" w:rsidRPr="001779DF" w:rsidRDefault="007238FF" w:rsidP="007238FF">
      <w:pPr>
        <w:autoSpaceDE w:val="0"/>
        <w:autoSpaceDN w:val="0"/>
        <w:adjustRightInd w:val="0"/>
        <w:rPr>
          <w:bCs/>
          <w:sz w:val="22"/>
          <w:szCs w:val="22"/>
        </w:rPr>
      </w:pPr>
    </w:p>
    <w:p w:rsidR="007238FF" w:rsidRPr="001779DF" w:rsidRDefault="007238FF" w:rsidP="007238FF">
      <w:pPr>
        <w:widowControl/>
        <w:jc w:val="both"/>
        <w:rPr>
          <w:bCs/>
          <w:sz w:val="22"/>
          <w:szCs w:val="22"/>
        </w:rPr>
      </w:pPr>
      <w:r w:rsidRPr="001779DF">
        <w:rPr>
          <w:sz w:val="22"/>
          <w:szCs w:val="22"/>
        </w:rPr>
        <w:t>The TBPEL requires that all non-lagoon wastewater treatment</w:t>
      </w:r>
      <w:r w:rsidRPr="001779DF">
        <w:rPr>
          <w:bCs/>
          <w:sz w:val="22"/>
          <w:szCs w:val="22"/>
        </w:rPr>
        <w:t xml:space="preserve"> works discharging wastewater to surface waters of the state shall provide treatment processes which will produce effluent less than or equal to an annual mean of 1.0 mg/L for total phosphorus. </w:t>
      </w:r>
      <w:r w:rsidRPr="001779DF">
        <w:rPr>
          <w:bCs/>
          <w:sz w:val="22"/>
          <w:szCs w:val="22"/>
        </w:rPr>
        <w:tab/>
        <w:t>This TBPEL shall be achieved by January 1, 2020.</w:t>
      </w:r>
    </w:p>
    <w:p w:rsidR="007238FF" w:rsidRPr="001779DF" w:rsidRDefault="007238FF" w:rsidP="007238FF">
      <w:pPr>
        <w:autoSpaceDE w:val="0"/>
        <w:autoSpaceDN w:val="0"/>
        <w:adjustRightInd w:val="0"/>
        <w:ind w:left="720" w:hanging="720"/>
        <w:rPr>
          <w:bCs/>
          <w:sz w:val="22"/>
          <w:szCs w:val="22"/>
        </w:rPr>
      </w:pPr>
    </w:p>
    <w:p w:rsidR="007238FF" w:rsidRPr="001779DF" w:rsidRDefault="007238FF" w:rsidP="007238FF">
      <w:pPr>
        <w:autoSpaceDE w:val="0"/>
        <w:autoSpaceDN w:val="0"/>
        <w:adjustRightInd w:val="0"/>
        <w:rPr>
          <w:bCs/>
          <w:sz w:val="22"/>
          <w:szCs w:val="22"/>
        </w:rPr>
      </w:pPr>
      <w:r w:rsidRPr="001779DF">
        <w:rPr>
          <w:bCs/>
          <w:sz w:val="22"/>
          <w:szCs w:val="22"/>
        </w:rPr>
        <w:t>The TBPEL discharging treatment works are required to implement, at a minimum, monthly monitoring of the following beginning July 1, 2015:</w:t>
      </w:r>
    </w:p>
    <w:p w:rsidR="007238FF" w:rsidRPr="001779DF" w:rsidRDefault="007238FF" w:rsidP="007238FF">
      <w:pPr>
        <w:autoSpaceDE w:val="0"/>
        <w:autoSpaceDN w:val="0"/>
        <w:adjustRightInd w:val="0"/>
        <w:rPr>
          <w:sz w:val="22"/>
          <w:szCs w:val="22"/>
        </w:rPr>
      </w:pPr>
    </w:p>
    <w:p w:rsidR="007238FF" w:rsidRPr="001779DF" w:rsidRDefault="007238FF" w:rsidP="007238FF">
      <w:pPr>
        <w:autoSpaceDE w:val="0"/>
        <w:autoSpaceDN w:val="0"/>
        <w:adjustRightInd w:val="0"/>
        <w:ind w:left="2520" w:hanging="1800"/>
        <w:rPr>
          <w:sz w:val="22"/>
          <w:szCs w:val="22"/>
        </w:rPr>
      </w:pPr>
      <w:r w:rsidRPr="001779DF">
        <w:rPr>
          <w:sz w:val="22"/>
          <w:szCs w:val="22"/>
        </w:rPr>
        <w:t xml:space="preserve">R317-1-3.3, D, 1 </w:t>
      </w:r>
      <w:r w:rsidRPr="001779DF">
        <w:rPr>
          <w:sz w:val="22"/>
          <w:szCs w:val="22"/>
        </w:rPr>
        <w:tab/>
        <w:t>Influent for total phosphorus (as P) and total Kjeldahl nitrogen (as N) concentrations;</w:t>
      </w:r>
    </w:p>
    <w:p w:rsidR="007238FF" w:rsidRPr="001779DF" w:rsidRDefault="007238FF" w:rsidP="007238FF">
      <w:pPr>
        <w:autoSpaceDE w:val="0"/>
        <w:autoSpaceDN w:val="0"/>
        <w:adjustRightInd w:val="0"/>
        <w:ind w:left="2520" w:hanging="1800"/>
        <w:rPr>
          <w:sz w:val="22"/>
          <w:szCs w:val="22"/>
        </w:rPr>
      </w:pPr>
    </w:p>
    <w:p w:rsidR="007238FF" w:rsidRPr="001779DF" w:rsidRDefault="007238FF" w:rsidP="007238FF">
      <w:pPr>
        <w:autoSpaceDE w:val="0"/>
        <w:autoSpaceDN w:val="0"/>
        <w:adjustRightInd w:val="0"/>
        <w:ind w:left="2520" w:hanging="1800"/>
        <w:rPr>
          <w:sz w:val="22"/>
          <w:szCs w:val="22"/>
        </w:rPr>
      </w:pPr>
      <w:proofErr w:type="gramStart"/>
      <w:r w:rsidRPr="001779DF">
        <w:rPr>
          <w:sz w:val="22"/>
          <w:szCs w:val="22"/>
        </w:rPr>
        <w:t>R317-1-3.3, D, 2.</w:t>
      </w:r>
      <w:proofErr w:type="gramEnd"/>
      <w:r w:rsidRPr="001779DF">
        <w:rPr>
          <w:sz w:val="22"/>
          <w:szCs w:val="22"/>
        </w:rPr>
        <w:t xml:space="preserve"> </w:t>
      </w:r>
      <w:r w:rsidRPr="001779DF">
        <w:rPr>
          <w:sz w:val="22"/>
          <w:szCs w:val="22"/>
        </w:rPr>
        <w:tab/>
        <w:t>Effluent for total phosphorus and orthophosphate (as P), ammonia, nitrate-nitrite and total Kjeldahl nitrogen (an N);</w:t>
      </w:r>
    </w:p>
    <w:p w:rsidR="007238FF" w:rsidRPr="001779DF" w:rsidRDefault="007238FF" w:rsidP="007238FF">
      <w:pPr>
        <w:autoSpaceDE w:val="0"/>
        <w:autoSpaceDN w:val="0"/>
        <w:adjustRightInd w:val="0"/>
        <w:rPr>
          <w:sz w:val="22"/>
          <w:szCs w:val="22"/>
        </w:rPr>
      </w:pPr>
    </w:p>
    <w:p w:rsidR="007238FF" w:rsidRPr="001779DF" w:rsidRDefault="007238FF" w:rsidP="007238FF">
      <w:pPr>
        <w:autoSpaceDE w:val="0"/>
        <w:autoSpaceDN w:val="0"/>
        <w:adjustRightInd w:val="0"/>
        <w:rPr>
          <w:sz w:val="22"/>
          <w:szCs w:val="22"/>
        </w:rPr>
      </w:pPr>
      <w:r w:rsidRPr="001779DF">
        <w:rPr>
          <w:sz w:val="22"/>
          <w:szCs w:val="22"/>
        </w:rPr>
        <w:t>In R317-1-3.3, D, 3 the rule states that all monitoring shall be based on 24-hour composite samples by use of an automatic sampler or a minimum of four grab samples collected a minimum of two hours apart.</w:t>
      </w:r>
    </w:p>
    <w:p w:rsidR="007238FF" w:rsidRPr="0065735C" w:rsidRDefault="007238FF" w:rsidP="006B1AD6">
      <w:pPr>
        <w:widowControl/>
        <w:jc w:val="both"/>
        <w:rPr>
          <w:b/>
          <w:sz w:val="22"/>
          <w:szCs w:val="22"/>
          <w:u w:val="single"/>
        </w:rPr>
      </w:pPr>
    </w:p>
    <w:p w:rsidR="00E71B47" w:rsidRPr="0065735C" w:rsidRDefault="00E71B47" w:rsidP="006B1AD6">
      <w:pPr>
        <w:widowControl/>
        <w:jc w:val="both"/>
        <w:rPr>
          <w:b/>
          <w:sz w:val="22"/>
          <w:szCs w:val="22"/>
          <w:u w:val="single"/>
        </w:rPr>
      </w:pPr>
    </w:p>
    <w:p w:rsidR="00E71B47" w:rsidRPr="0065735C" w:rsidRDefault="00E71B47" w:rsidP="006B1AD6">
      <w:pPr>
        <w:pStyle w:val="Heading6"/>
        <w:widowControl/>
        <w:rPr>
          <w:bCs w:val="0"/>
          <w:sz w:val="22"/>
          <w:szCs w:val="22"/>
        </w:rPr>
      </w:pPr>
      <w:r w:rsidRPr="0065735C">
        <w:rPr>
          <w:bCs w:val="0"/>
          <w:sz w:val="22"/>
          <w:szCs w:val="22"/>
        </w:rPr>
        <w:t>DISCHARGE</w:t>
      </w:r>
    </w:p>
    <w:p w:rsidR="00E71B47" w:rsidRPr="0065735C" w:rsidRDefault="00E71B47" w:rsidP="006B1AD6">
      <w:pPr>
        <w:widowControl/>
        <w:jc w:val="both"/>
        <w:rPr>
          <w:b/>
          <w:sz w:val="22"/>
          <w:szCs w:val="22"/>
          <w:u w:val="single"/>
        </w:rPr>
      </w:pPr>
    </w:p>
    <w:p w:rsidR="00E71B47" w:rsidRPr="0065735C" w:rsidRDefault="00E71B47" w:rsidP="006B1AD6">
      <w:pPr>
        <w:pStyle w:val="Heading8"/>
        <w:rPr>
          <w:sz w:val="22"/>
          <w:szCs w:val="22"/>
        </w:rPr>
      </w:pPr>
      <w:r w:rsidRPr="0065735C">
        <w:rPr>
          <w:sz w:val="22"/>
          <w:szCs w:val="22"/>
        </w:rPr>
        <w:t>DESCRIPTION OF DISCHARGE</w:t>
      </w:r>
    </w:p>
    <w:p w:rsidR="004B3ABC" w:rsidRPr="004B3ABC" w:rsidRDefault="004B3ABC" w:rsidP="004B3ABC">
      <w:pPr>
        <w:keepNext/>
        <w:widowControl/>
        <w:jc w:val="both"/>
        <w:outlineLvl w:val="4"/>
        <w:rPr>
          <w:sz w:val="22"/>
          <w:szCs w:val="22"/>
        </w:rPr>
      </w:pPr>
      <w:r w:rsidRPr="004B3ABC">
        <w:rPr>
          <w:sz w:val="22"/>
          <w:szCs w:val="22"/>
          <w:u w:val="single"/>
        </w:rPr>
        <w:t>Outfall</w:t>
      </w:r>
      <w:r w:rsidRPr="004B3ABC">
        <w:rPr>
          <w:sz w:val="22"/>
          <w:szCs w:val="22"/>
        </w:rPr>
        <w:tab/>
      </w:r>
      <w:r w:rsidRPr="004B3ABC">
        <w:rPr>
          <w:sz w:val="22"/>
          <w:szCs w:val="22"/>
        </w:rPr>
        <w:tab/>
      </w:r>
      <w:r w:rsidRPr="004B3ABC">
        <w:rPr>
          <w:sz w:val="22"/>
          <w:szCs w:val="22"/>
          <w:u w:val="single"/>
        </w:rPr>
        <w:t>Description of Discharge Point</w:t>
      </w:r>
      <w:r w:rsidRPr="004B3ABC">
        <w:rPr>
          <w:sz w:val="22"/>
          <w:szCs w:val="22"/>
        </w:rPr>
        <w:tab/>
      </w:r>
    </w:p>
    <w:p w:rsidR="004B3ABC" w:rsidRPr="004B3ABC" w:rsidRDefault="004B3ABC" w:rsidP="004B3ABC">
      <w:pPr>
        <w:widowControl/>
        <w:ind w:left="1440" w:hanging="1440"/>
        <w:jc w:val="both"/>
        <w:rPr>
          <w:b/>
          <w:sz w:val="22"/>
          <w:szCs w:val="22"/>
          <w:u w:val="single"/>
        </w:rPr>
      </w:pPr>
      <w:r>
        <w:rPr>
          <w:sz w:val="22"/>
          <w:szCs w:val="22"/>
        </w:rPr>
        <w:t xml:space="preserve">  001 </w:t>
      </w:r>
      <w:r>
        <w:rPr>
          <w:sz w:val="22"/>
          <w:szCs w:val="22"/>
        </w:rPr>
        <w:tab/>
      </w:r>
      <w:r w:rsidRPr="004B3ABC">
        <w:rPr>
          <w:sz w:val="22"/>
          <w:szCs w:val="22"/>
        </w:rPr>
        <w:t>Located at latitude 40° 41’ 57” and longitude 112° 09’ 36”.  The discharge is through a 200-foot long 16-inch diameter gravity flow concrete pipe leading from the UV basin to the Malad River.</w:t>
      </w:r>
    </w:p>
    <w:p w:rsidR="00E71B47" w:rsidRPr="0065735C" w:rsidRDefault="00E71B47" w:rsidP="006B1AD6">
      <w:pPr>
        <w:widowControl/>
        <w:jc w:val="both"/>
        <w:rPr>
          <w:sz w:val="22"/>
          <w:szCs w:val="22"/>
        </w:rPr>
      </w:pPr>
    </w:p>
    <w:p w:rsidR="00E71B47" w:rsidRPr="0065735C" w:rsidRDefault="00E71B47" w:rsidP="006B1AD6">
      <w:pPr>
        <w:pStyle w:val="BodyTextIndent"/>
        <w:tabs>
          <w:tab w:val="left" w:pos="1440"/>
        </w:tabs>
        <w:ind w:left="3600" w:right="720" w:hanging="3600"/>
        <w:rPr>
          <w:sz w:val="22"/>
          <w:szCs w:val="22"/>
        </w:rPr>
      </w:pPr>
    </w:p>
    <w:p w:rsidR="00E71B47" w:rsidRPr="0065735C" w:rsidRDefault="00E71B47" w:rsidP="006B1AD6">
      <w:pPr>
        <w:pStyle w:val="Heading8"/>
        <w:rPr>
          <w:sz w:val="22"/>
          <w:szCs w:val="22"/>
        </w:rPr>
      </w:pPr>
      <w:r w:rsidRPr="0065735C">
        <w:rPr>
          <w:sz w:val="22"/>
          <w:szCs w:val="22"/>
        </w:rPr>
        <w:t>RECEIVING WATERS AND STREAM CLASSIFICATION</w:t>
      </w:r>
    </w:p>
    <w:p w:rsidR="00840DAF" w:rsidRPr="00840DAF" w:rsidRDefault="00840DAF" w:rsidP="00840DAF">
      <w:pPr>
        <w:widowControl/>
        <w:jc w:val="both"/>
        <w:rPr>
          <w:bCs/>
          <w:sz w:val="22"/>
          <w:szCs w:val="22"/>
        </w:rPr>
      </w:pPr>
      <w:r w:rsidRPr="00840DAF">
        <w:rPr>
          <w:bCs/>
          <w:sz w:val="22"/>
          <w:szCs w:val="22"/>
        </w:rPr>
        <w:t xml:space="preserve">The final discharge flows into the Malad River approximately 10½ miles upstream from its confluence with the Bear River.  The Malad River is classified as 2B and 3C according to </w:t>
      </w:r>
      <w:r w:rsidRPr="00840DAF">
        <w:rPr>
          <w:bCs/>
          <w:i/>
          <w:sz w:val="22"/>
          <w:szCs w:val="22"/>
        </w:rPr>
        <w:t>Utah Administrative Code (UAC) R317-2-12.7.</w:t>
      </w:r>
    </w:p>
    <w:p w:rsidR="00840DAF" w:rsidRPr="00840DAF" w:rsidRDefault="00840DAF" w:rsidP="00840DAF">
      <w:pPr>
        <w:widowControl/>
        <w:jc w:val="both"/>
        <w:rPr>
          <w:bCs/>
          <w:sz w:val="22"/>
          <w:szCs w:val="22"/>
        </w:rPr>
      </w:pPr>
    </w:p>
    <w:p w:rsidR="00840DAF" w:rsidRPr="00840DAF" w:rsidRDefault="00840DAF" w:rsidP="00840DAF">
      <w:pPr>
        <w:widowControl/>
        <w:ind w:left="1440" w:hanging="1440"/>
        <w:jc w:val="both"/>
        <w:rPr>
          <w:color w:val="000000"/>
          <w:sz w:val="22"/>
          <w:szCs w:val="22"/>
          <w:shd w:val="clear" w:color="auto" w:fill="FFFFFF"/>
        </w:rPr>
      </w:pPr>
      <w:r w:rsidRPr="00840DAF">
        <w:rPr>
          <w:color w:val="000000"/>
          <w:sz w:val="22"/>
          <w:szCs w:val="22"/>
          <w:shd w:val="clear" w:color="auto" w:fill="FFFFFF"/>
        </w:rPr>
        <w:t>Class 2B</w:t>
      </w:r>
      <w:r>
        <w:rPr>
          <w:color w:val="000000"/>
          <w:sz w:val="22"/>
          <w:szCs w:val="22"/>
          <w:shd w:val="clear" w:color="auto" w:fill="FFFFFF"/>
        </w:rPr>
        <w:t>-</w:t>
      </w:r>
      <w:r w:rsidRPr="00840DAF">
        <w:rPr>
          <w:color w:val="000000"/>
          <w:sz w:val="22"/>
          <w:szCs w:val="22"/>
          <w:shd w:val="clear" w:color="auto" w:fill="FFFFFF"/>
        </w:rPr>
        <w:tab/>
        <w:t>Protected for infrequent primary contact recreation. Also protected for secondary contact recreation where there is a low likelihood of ingestion of water or a low degree of bodily contact with the water. Examples include, but are not limited to, wading, hunting, and fishing.</w:t>
      </w:r>
    </w:p>
    <w:p w:rsidR="00840DAF" w:rsidRPr="00840DAF" w:rsidRDefault="00840DAF" w:rsidP="00840DAF">
      <w:pPr>
        <w:widowControl/>
        <w:ind w:left="1440" w:hanging="1440"/>
        <w:jc w:val="both"/>
        <w:rPr>
          <w:color w:val="000000"/>
          <w:sz w:val="22"/>
          <w:szCs w:val="22"/>
          <w:shd w:val="clear" w:color="auto" w:fill="FFFFFF"/>
        </w:rPr>
      </w:pPr>
    </w:p>
    <w:p w:rsidR="00E71B47" w:rsidRDefault="00840DAF" w:rsidP="00840DAF">
      <w:pPr>
        <w:pStyle w:val="Heading8"/>
        <w:ind w:left="1440" w:hanging="1440"/>
        <w:rPr>
          <w:b w:val="0"/>
          <w:bCs/>
          <w:sz w:val="22"/>
          <w:szCs w:val="22"/>
        </w:rPr>
      </w:pPr>
      <w:r w:rsidRPr="00840DAF">
        <w:rPr>
          <w:b w:val="0"/>
          <w:bCs/>
          <w:sz w:val="22"/>
          <w:szCs w:val="22"/>
        </w:rPr>
        <w:t>Class 3C</w:t>
      </w:r>
      <w:r>
        <w:rPr>
          <w:b w:val="0"/>
          <w:bCs/>
          <w:sz w:val="22"/>
          <w:szCs w:val="22"/>
        </w:rPr>
        <w:t>-</w:t>
      </w:r>
      <w:r w:rsidRPr="00840DAF">
        <w:rPr>
          <w:b w:val="0"/>
          <w:bCs/>
          <w:sz w:val="22"/>
          <w:szCs w:val="22"/>
        </w:rPr>
        <w:tab/>
        <w:t>Protected for nongame fish and other aquatic life, including the necessary aquatic organisms in their food chain.</w:t>
      </w:r>
    </w:p>
    <w:p w:rsidR="00840DAF" w:rsidRPr="00840DAF" w:rsidRDefault="00840DAF" w:rsidP="00840DAF"/>
    <w:p w:rsidR="00E71B47" w:rsidRPr="00DE7149" w:rsidRDefault="00E71B47" w:rsidP="006B1AD6">
      <w:pPr>
        <w:pStyle w:val="Heading8"/>
        <w:rPr>
          <w:sz w:val="22"/>
          <w:szCs w:val="22"/>
        </w:rPr>
      </w:pPr>
      <w:r w:rsidRPr="00DE7149">
        <w:rPr>
          <w:sz w:val="22"/>
          <w:szCs w:val="22"/>
        </w:rPr>
        <w:t>BASIS FOR EFFLUENT LIMITATIONS</w:t>
      </w:r>
    </w:p>
    <w:p w:rsidR="00713126" w:rsidRDefault="00E71B47" w:rsidP="006E2DD1">
      <w:pPr>
        <w:jc w:val="both"/>
        <w:rPr>
          <w:sz w:val="22"/>
          <w:szCs w:val="22"/>
        </w:rPr>
      </w:pPr>
      <w:r w:rsidRPr="00DE7149">
        <w:rPr>
          <w:sz w:val="22"/>
          <w:szCs w:val="22"/>
        </w:rPr>
        <w:t xml:space="preserve">Limitations on total suspended solids (TSS), biochemical oxygen demand (BOD5), </w:t>
      </w:r>
      <w:r w:rsidR="00F56F54" w:rsidRPr="00F56F54">
        <w:rPr>
          <w:i/>
          <w:sz w:val="22"/>
          <w:szCs w:val="22"/>
        </w:rPr>
        <w:t xml:space="preserve">E. </w:t>
      </w:r>
      <w:r w:rsidR="004B2FA8">
        <w:rPr>
          <w:i/>
          <w:sz w:val="22"/>
          <w:szCs w:val="22"/>
        </w:rPr>
        <w:t>c</w:t>
      </w:r>
      <w:r w:rsidR="00F56F54" w:rsidRPr="00F56F54">
        <w:rPr>
          <w:i/>
          <w:sz w:val="22"/>
          <w:szCs w:val="22"/>
        </w:rPr>
        <w:t>ol</w:t>
      </w:r>
      <w:r w:rsidR="00F56F54">
        <w:rPr>
          <w:i/>
          <w:sz w:val="22"/>
          <w:szCs w:val="22"/>
        </w:rPr>
        <w:t>i</w:t>
      </w:r>
      <w:r w:rsidRPr="00DE7149">
        <w:rPr>
          <w:sz w:val="22"/>
          <w:szCs w:val="22"/>
        </w:rPr>
        <w:t xml:space="preserve">, pH and percent removal for BOD5 and TSS are based on current Utah Secondary Treatment Standards, UAC R317-1-3.2.  </w:t>
      </w:r>
      <w:r w:rsidR="003F7FB1" w:rsidRPr="003F7FB1">
        <w:rPr>
          <w:sz w:val="22"/>
          <w:szCs w:val="22"/>
        </w:rPr>
        <w:t>Limitations for ammonia are based on the waste load analysis.  The oil and grease is based on best professional judgment (BPJ).</w:t>
      </w:r>
      <w:r w:rsidR="003F7FB1">
        <w:t xml:space="preserve"> </w:t>
      </w:r>
      <w:r w:rsidRPr="00DE7149">
        <w:rPr>
          <w:sz w:val="22"/>
          <w:szCs w:val="22"/>
        </w:rPr>
        <w:t xml:space="preserve">Attached is a Wasteload Analysis for this discharge into the </w:t>
      </w:r>
      <w:r w:rsidR="00A93AD5">
        <w:rPr>
          <w:sz w:val="22"/>
          <w:szCs w:val="22"/>
        </w:rPr>
        <w:t>Malad River</w:t>
      </w:r>
      <w:r w:rsidRPr="00DE7149">
        <w:rPr>
          <w:sz w:val="22"/>
          <w:szCs w:val="22"/>
        </w:rPr>
        <w:t>. It has been determined that this discharge will not cause a violation of water quality standards. An Antidegradation Level II review is not required since the Level I review shows that water quality impacts are minimal.</w:t>
      </w:r>
    </w:p>
    <w:p w:rsidR="00713126" w:rsidRDefault="00713126" w:rsidP="006E2DD1">
      <w:pPr>
        <w:jc w:val="both"/>
        <w:rPr>
          <w:sz w:val="22"/>
          <w:szCs w:val="22"/>
        </w:rPr>
      </w:pPr>
    </w:p>
    <w:p w:rsidR="006E2DD1" w:rsidRDefault="002E083C" w:rsidP="00E90E11">
      <w:pPr>
        <w:jc w:val="both"/>
        <w:rPr>
          <w:sz w:val="22"/>
          <w:szCs w:val="22"/>
        </w:rPr>
      </w:pPr>
      <w:r>
        <w:rPr>
          <w:sz w:val="22"/>
          <w:szCs w:val="22"/>
        </w:rPr>
        <w:t>DWQ is currently revising</w:t>
      </w:r>
      <w:r w:rsidR="006E2DD1" w:rsidRPr="006E2DD1">
        <w:rPr>
          <w:sz w:val="22"/>
          <w:szCs w:val="22"/>
        </w:rPr>
        <w:t xml:space="preserve"> the Lower Bear River </w:t>
      </w:r>
      <w:r>
        <w:rPr>
          <w:sz w:val="22"/>
          <w:szCs w:val="22"/>
        </w:rPr>
        <w:t>Total Maximum Daily Load (</w:t>
      </w:r>
      <w:r w:rsidR="006E2DD1" w:rsidRPr="006E2DD1">
        <w:rPr>
          <w:sz w:val="22"/>
          <w:szCs w:val="22"/>
        </w:rPr>
        <w:t>TMDL</w:t>
      </w:r>
      <w:r>
        <w:rPr>
          <w:sz w:val="22"/>
          <w:szCs w:val="22"/>
        </w:rPr>
        <w:t>)</w:t>
      </w:r>
      <w:r w:rsidR="006E2DD1" w:rsidRPr="006E2DD1">
        <w:rPr>
          <w:sz w:val="22"/>
          <w:szCs w:val="22"/>
        </w:rPr>
        <w:t xml:space="preserve">. </w:t>
      </w:r>
      <w:r w:rsidR="00D80D94">
        <w:rPr>
          <w:sz w:val="22"/>
          <w:szCs w:val="22"/>
        </w:rPr>
        <w:t xml:space="preserve"> </w:t>
      </w:r>
      <w:r w:rsidR="006E2DD1" w:rsidRPr="006E2DD1">
        <w:rPr>
          <w:sz w:val="22"/>
          <w:szCs w:val="22"/>
        </w:rPr>
        <w:t>At this point in time, there is some</w:t>
      </w:r>
      <w:r w:rsidR="00C600C3">
        <w:rPr>
          <w:sz w:val="22"/>
          <w:szCs w:val="22"/>
        </w:rPr>
        <w:t xml:space="preserve"> </w:t>
      </w:r>
      <w:r w:rsidR="006E2DD1" w:rsidRPr="006E2DD1">
        <w:rPr>
          <w:sz w:val="22"/>
          <w:szCs w:val="22"/>
        </w:rPr>
        <w:t>level of uncertainty as to what the</w:t>
      </w:r>
      <w:r w:rsidR="00E90E11">
        <w:rPr>
          <w:sz w:val="22"/>
          <w:szCs w:val="22"/>
        </w:rPr>
        <w:t xml:space="preserve"> </w:t>
      </w:r>
      <w:r w:rsidR="006E2DD1" w:rsidRPr="006E2DD1">
        <w:rPr>
          <w:sz w:val="22"/>
          <w:szCs w:val="22"/>
        </w:rPr>
        <w:t xml:space="preserve">ultimate </w:t>
      </w:r>
      <w:r w:rsidR="00FA0B43">
        <w:rPr>
          <w:sz w:val="22"/>
          <w:szCs w:val="22"/>
        </w:rPr>
        <w:t xml:space="preserve">TMDL </w:t>
      </w:r>
      <w:r>
        <w:rPr>
          <w:sz w:val="22"/>
          <w:szCs w:val="22"/>
        </w:rPr>
        <w:t xml:space="preserve">total phosphorous </w:t>
      </w:r>
      <w:r w:rsidR="00B13E88">
        <w:rPr>
          <w:sz w:val="22"/>
          <w:szCs w:val="22"/>
        </w:rPr>
        <w:t>(</w:t>
      </w:r>
      <w:r w:rsidR="006E2DD1" w:rsidRPr="006E2DD1">
        <w:rPr>
          <w:sz w:val="22"/>
          <w:szCs w:val="22"/>
        </w:rPr>
        <w:t>TP</w:t>
      </w:r>
      <w:r w:rsidR="00B13E88">
        <w:rPr>
          <w:sz w:val="22"/>
          <w:szCs w:val="22"/>
        </w:rPr>
        <w:t>)</w:t>
      </w:r>
      <w:r w:rsidR="00FA0B43">
        <w:rPr>
          <w:sz w:val="22"/>
          <w:szCs w:val="22"/>
        </w:rPr>
        <w:t xml:space="preserve"> allocations</w:t>
      </w:r>
      <w:r w:rsidR="00E90E11">
        <w:rPr>
          <w:sz w:val="22"/>
          <w:szCs w:val="22"/>
        </w:rPr>
        <w:t xml:space="preserve"> will be for the identified </w:t>
      </w:r>
      <w:r w:rsidR="00007A1F">
        <w:rPr>
          <w:sz w:val="22"/>
          <w:szCs w:val="22"/>
        </w:rPr>
        <w:t xml:space="preserve">point source </w:t>
      </w:r>
      <w:r w:rsidR="00E90E11">
        <w:rPr>
          <w:sz w:val="22"/>
          <w:szCs w:val="22"/>
        </w:rPr>
        <w:t>facilities</w:t>
      </w:r>
      <w:r w:rsidR="00880834">
        <w:rPr>
          <w:sz w:val="22"/>
          <w:szCs w:val="22"/>
        </w:rPr>
        <w:t>,</w:t>
      </w:r>
      <w:r w:rsidR="00E90E11">
        <w:rPr>
          <w:sz w:val="22"/>
          <w:szCs w:val="22"/>
        </w:rPr>
        <w:t xml:space="preserve"> including TWWTP</w:t>
      </w:r>
      <w:r w:rsidR="006E2DD1" w:rsidRPr="006E2DD1">
        <w:rPr>
          <w:sz w:val="22"/>
          <w:szCs w:val="22"/>
        </w:rPr>
        <w:t>.</w:t>
      </w:r>
      <w:r w:rsidR="0025418D">
        <w:rPr>
          <w:sz w:val="22"/>
          <w:szCs w:val="22"/>
        </w:rPr>
        <w:t xml:space="preserve">  Therefore, the </w:t>
      </w:r>
      <w:r>
        <w:rPr>
          <w:sz w:val="22"/>
          <w:szCs w:val="22"/>
        </w:rPr>
        <w:t xml:space="preserve">total phosphorous </w:t>
      </w:r>
      <w:r w:rsidR="00E90E11">
        <w:rPr>
          <w:sz w:val="22"/>
          <w:szCs w:val="22"/>
        </w:rPr>
        <w:t xml:space="preserve">TP monitoring requirements included in the permit </w:t>
      </w:r>
      <w:r w:rsidR="004A6DED">
        <w:rPr>
          <w:sz w:val="22"/>
          <w:szCs w:val="22"/>
        </w:rPr>
        <w:t xml:space="preserve">primarily </w:t>
      </w:r>
      <w:r w:rsidR="00E90E11">
        <w:rPr>
          <w:sz w:val="22"/>
          <w:szCs w:val="22"/>
        </w:rPr>
        <w:t xml:space="preserve">addresses the </w:t>
      </w:r>
      <w:r w:rsidR="0025418D">
        <w:rPr>
          <w:sz w:val="22"/>
          <w:szCs w:val="22"/>
        </w:rPr>
        <w:t xml:space="preserve">TBPEL </w:t>
      </w:r>
      <w:r w:rsidR="00E90E11">
        <w:rPr>
          <w:sz w:val="22"/>
          <w:szCs w:val="22"/>
        </w:rPr>
        <w:t>R</w:t>
      </w:r>
      <w:r w:rsidR="00D80D94">
        <w:rPr>
          <w:sz w:val="22"/>
          <w:szCs w:val="22"/>
        </w:rPr>
        <w:t xml:space="preserve">ule </w:t>
      </w:r>
      <w:r w:rsidR="00E90E11">
        <w:rPr>
          <w:sz w:val="22"/>
          <w:szCs w:val="22"/>
        </w:rPr>
        <w:t xml:space="preserve">in </w:t>
      </w:r>
      <w:r w:rsidR="00D80D94" w:rsidRPr="001779DF">
        <w:rPr>
          <w:sz w:val="22"/>
          <w:szCs w:val="22"/>
        </w:rPr>
        <w:t>UAC R317-1-3.3</w:t>
      </w:r>
      <w:r w:rsidR="00E90E11">
        <w:rPr>
          <w:sz w:val="22"/>
          <w:szCs w:val="22"/>
        </w:rPr>
        <w:t xml:space="preserve">.  </w:t>
      </w:r>
    </w:p>
    <w:p w:rsidR="00952FFC" w:rsidRPr="00952FFC" w:rsidRDefault="00952FFC" w:rsidP="00E90E11">
      <w:pPr>
        <w:rPr>
          <w:sz w:val="22"/>
          <w:szCs w:val="22"/>
        </w:rPr>
      </w:pPr>
    </w:p>
    <w:p w:rsidR="00906261" w:rsidRPr="002138EF" w:rsidRDefault="00906261" w:rsidP="00906261">
      <w:pPr>
        <w:pStyle w:val="Heading8"/>
        <w:rPr>
          <w:sz w:val="22"/>
          <w:szCs w:val="22"/>
        </w:rPr>
      </w:pPr>
      <w:r>
        <w:rPr>
          <w:sz w:val="22"/>
          <w:szCs w:val="22"/>
        </w:rPr>
        <w:lastRenderedPageBreak/>
        <w:t>Reasonable Potential Analysis</w:t>
      </w:r>
    </w:p>
    <w:p w:rsidR="00051532" w:rsidRPr="0047665C" w:rsidRDefault="00906261" w:rsidP="00051532">
      <w:pPr>
        <w:widowControl/>
        <w:jc w:val="both"/>
        <w:rPr>
          <w:sz w:val="22"/>
          <w:szCs w:val="22"/>
        </w:rPr>
      </w:pPr>
      <w:r>
        <w:rPr>
          <w:bCs/>
          <w:sz w:val="22"/>
          <w:szCs w:val="22"/>
        </w:rPr>
        <w:t xml:space="preserve">Since January 1, 2016, DWQ has conducted </w:t>
      </w:r>
      <w:r w:rsidRPr="003B224E">
        <w:rPr>
          <w:bCs/>
          <w:sz w:val="22"/>
          <w:szCs w:val="22"/>
        </w:rPr>
        <w:t xml:space="preserve">reasonable potential analysis (RP) </w:t>
      </w:r>
      <w:r>
        <w:rPr>
          <w:bCs/>
          <w:sz w:val="22"/>
          <w:szCs w:val="22"/>
        </w:rPr>
        <w:t xml:space="preserve">on all new and renewal applications received after that date. RP for this permit renewal was conducted following DWQ’s September 10, 2015 </w:t>
      </w:r>
      <w:r>
        <w:rPr>
          <w:sz w:val="22"/>
          <w:szCs w:val="22"/>
        </w:rPr>
        <w:t>Reasonable Potential Analysis Guidance (RP Guidance).</w:t>
      </w:r>
      <w:r w:rsidRPr="00626A45">
        <w:rPr>
          <w:sz w:val="22"/>
          <w:szCs w:val="22"/>
        </w:rPr>
        <w:t xml:space="preserve"> </w:t>
      </w:r>
      <w:r>
        <w:rPr>
          <w:sz w:val="22"/>
          <w:szCs w:val="22"/>
        </w:rPr>
        <w:t>There are four outcomes defined in the RP G</w:t>
      </w:r>
      <w:r w:rsidR="00051532">
        <w:rPr>
          <w:sz w:val="22"/>
          <w:szCs w:val="22"/>
        </w:rPr>
        <w:t>uidance as follows</w:t>
      </w:r>
      <w:r w:rsidR="00051532" w:rsidRPr="0047665C">
        <w:rPr>
          <w:sz w:val="22"/>
          <w:szCs w:val="22"/>
        </w:rPr>
        <w:t>;</w:t>
      </w:r>
    </w:p>
    <w:p w:rsidR="00051532" w:rsidRPr="0047665C" w:rsidRDefault="00051532" w:rsidP="00051532">
      <w:pPr>
        <w:widowControl/>
        <w:jc w:val="both"/>
        <w:rPr>
          <w:sz w:val="22"/>
          <w:szCs w:val="22"/>
        </w:rPr>
      </w:pPr>
    </w:p>
    <w:p w:rsidR="00051532" w:rsidRPr="0047665C" w:rsidRDefault="00051532" w:rsidP="00051532">
      <w:pPr>
        <w:widowControl/>
        <w:ind w:left="2160" w:hanging="1440"/>
        <w:jc w:val="both"/>
        <w:rPr>
          <w:sz w:val="22"/>
          <w:szCs w:val="22"/>
        </w:rPr>
      </w:pPr>
      <w:r w:rsidRPr="0047665C">
        <w:rPr>
          <w:sz w:val="22"/>
          <w:szCs w:val="22"/>
        </w:rPr>
        <w:t>Outcome A:</w:t>
      </w:r>
      <w:r w:rsidRPr="0047665C">
        <w:rPr>
          <w:sz w:val="22"/>
          <w:szCs w:val="22"/>
        </w:rPr>
        <w:tab/>
        <w:t>A new effluent limitation will be placed in the permit.</w:t>
      </w:r>
    </w:p>
    <w:p w:rsidR="00051532" w:rsidRPr="0047665C" w:rsidRDefault="00051532" w:rsidP="00051532">
      <w:pPr>
        <w:widowControl/>
        <w:ind w:left="2160" w:hanging="1440"/>
        <w:jc w:val="both"/>
        <w:rPr>
          <w:sz w:val="22"/>
          <w:szCs w:val="22"/>
        </w:rPr>
      </w:pPr>
      <w:r w:rsidRPr="0047665C">
        <w:rPr>
          <w:sz w:val="22"/>
          <w:szCs w:val="22"/>
        </w:rPr>
        <w:t>Outcome B:</w:t>
      </w:r>
      <w:r w:rsidRPr="0047665C">
        <w:rPr>
          <w:sz w:val="22"/>
          <w:szCs w:val="22"/>
        </w:rPr>
        <w:tab/>
        <w:t>No new effluent limitation. Routine monitoring requirements will be placed or increased from what they are in the permit,</w:t>
      </w:r>
    </w:p>
    <w:p w:rsidR="00051532" w:rsidRPr="0047665C" w:rsidRDefault="00051532" w:rsidP="00051532">
      <w:pPr>
        <w:widowControl/>
        <w:ind w:left="2160" w:hanging="1440"/>
        <w:jc w:val="both"/>
        <w:rPr>
          <w:sz w:val="22"/>
          <w:szCs w:val="22"/>
        </w:rPr>
      </w:pPr>
      <w:r w:rsidRPr="0047665C">
        <w:rPr>
          <w:sz w:val="22"/>
          <w:szCs w:val="22"/>
        </w:rPr>
        <w:t>Outcome C:</w:t>
      </w:r>
      <w:r w:rsidRPr="0047665C">
        <w:rPr>
          <w:sz w:val="22"/>
          <w:szCs w:val="22"/>
        </w:rPr>
        <w:tab/>
        <w:t xml:space="preserve">No new effluent limitation.  Routine monitoring requirements maintained as they are in the permit, </w:t>
      </w:r>
    </w:p>
    <w:p w:rsidR="00051532" w:rsidRPr="0047665C" w:rsidRDefault="00051532" w:rsidP="00051532">
      <w:pPr>
        <w:widowControl/>
        <w:ind w:left="2160" w:hanging="1440"/>
        <w:jc w:val="both"/>
        <w:rPr>
          <w:sz w:val="22"/>
          <w:szCs w:val="22"/>
        </w:rPr>
      </w:pPr>
      <w:r w:rsidRPr="0047665C">
        <w:rPr>
          <w:sz w:val="22"/>
          <w:szCs w:val="22"/>
        </w:rPr>
        <w:t>Outcome D:</w:t>
      </w:r>
      <w:r w:rsidRPr="0047665C">
        <w:rPr>
          <w:sz w:val="22"/>
          <w:szCs w:val="22"/>
        </w:rPr>
        <w:tab/>
        <w:t>No limitation or routine monitoring requirements are in the permit.</w:t>
      </w:r>
    </w:p>
    <w:p w:rsidR="00051532" w:rsidRDefault="00051532" w:rsidP="00051532">
      <w:pPr>
        <w:widowControl/>
        <w:jc w:val="both"/>
        <w:rPr>
          <w:sz w:val="22"/>
          <w:szCs w:val="22"/>
        </w:rPr>
      </w:pPr>
    </w:p>
    <w:p w:rsidR="00051532" w:rsidRDefault="00051532" w:rsidP="00051532">
      <w:pPr>
        <w:widowControl/>
        <w:jc w:val="both"/>
        <w:rPr>
          <w:bCs/>
          <w:sz w:val="22"/>
          <w:szCs w:val="22"/>
        </w:rPr>
      </w:pPr>
      <w:r>
        <w:rPr>
          <w:sz w:val="22"/>
          <w:szCs w:val="22"/>
        </w:rPr>
        <w:t>These Outcomes provide a frame work for what routine monitoring or effluent limitations are required.</w:t>
      </w:r>
      <w:r w:rsidRPr="003A6CC3">
        <w:rPr>
          <w:bCs/>
          <w:sz w:val="22"/>
          <w:szCs w:val="22"/>
        </w:rPr>
        <w:t xml:space="preserve"> </w:t>
      </w:r>
    </w:p>
    <w:p w:rsidR="00051532" w:rsidRDefault="00051532" w:rsidP="00051532">
      <w:pPr>
        <w:widowControl/>
        <w:jc w:val="both"/>
        <w:rPr>
          <w:bCs/>
          <w:sz w:val="22"/>
          <w:szCs w:val="22"/>
        </w:rPr>
      </w:pPr>
    </w:p>
    <w:p w:rsidR="00906261" w:rsidRDefault="00051532" w:rsidP="00051532">
      <w:pPr>
        <w:widowControl/>
        <w:jc w:val="both"/>
        <w:rPr>
          <w:bCs/>
          <w:sz w:val="22"/>
          <w:szCs w:val="22"/>
        </w:rPr>
      </w:pPr>
      <w:r>
        <w:rPr>
          <w:bCs/>
          <w:sz w:val="22"/>
          <w:szCs w:val="22"/>
        </w:rPr>
        <w:t>A qualitative RP analysis was performed on the applicable metals constituents</w:t>
      </w:r>
      <w:r w:rsidR="00A918F5">
        <w:rPr>
          <w:bCs/>
          <w:sz w:val="22"/>
          <w:szCs w:val="22"/>
        </w:rPr>
        <w:t xml:space="preserve"> from TWWTP discharge data over the past five years</w:t>
      </w:r>
      <w:r>
        <w:rPr>
          <w:bCs/>
          <w:sz w:val="22"/>
          <w:szCs w:val="22"/>
        </w:rPr>
        <w:t xml:space="preserve">. </w:t>
      </w:r>
      <w:r w:rsidRPr="003A6CC3">
        <w:rPr>
          <w:bCs/>
          <w:sz w:val="22"/>
          <w:szCs w:val="22"/>
        </w:rPr>
        <w:t xml:space="preserve">Initial screening for metals values that were submitted through the discharge monitoring reports showed that a closer look </w:t>
      </w:r>
      <w:r w:rsidRPr="00194039">
        <w:rPr>
          <w:bCs/>
          <w:sz w:val="22"/>
          <w:szCs w:val="22"/>
        </w:rPr>
        <w:t xml:space="preserve">at </w:t>
      </w:r>
      <w:r>
        <w:rPr>
          <w:bCs/>
          <w:sz w:val="22"/>
          <w:szCs w:val="22"/>
        </w:rPr>
        <w:t xml:space="preserve">any </w:t>
      </w:r>
      <w:r w:rsidRPr="006F777C">
        <w:rPr>
          <w:bCs/>
          <w:sz w:val="22"/>
          <w:szCs w:val="22"/>
        </w:rPr>
        <w:t xml:space="preserve">of the metals is </w:t>
      </w:r>
      <w:r>
        <w:rPr>
          <w:bCs/>
          <w:sz w:val="22"/>
          <w:szCs w:val="22"/>
        </w:rPr>
        <w:t xml:space="preserve">not </w:t>
      </w:r>
      <w:r w:rsidRPr="006F777C">
        <w:rPr>
          <w:bCs/>
          <w:sz w:val="22"/>
          <w:szCs w:val="22"/>
        </w:rPr>
        <w:t>needed</w:t>
      </w:r>
      <w:r>
        <w:rPr>
          <w:bCs/>
          <w:sz w:val="22"/>
          <w:szCs w:val="22"/>
        </w:rPr>
        <w:t xml:space="preserve"> since all of the semi-annual metals results were either below detection limits and/or below water quality standards.  Therefore </w:t>
      </w:r>
      <w:r w:rsidR="00A918F5">
        <w:rPr>
          <w:bCs/>
          <w:sz w:val="22"/>
          <w:szCs w:val="22"/>
        </w:rPr>
        <w:t xml:space="preserve">no RP currently exists at TWWTP and </w:t>
      </w:r>
      <w:r>
        <w:rPr>
          <w:bCs/>
          <w:sz w:val="22"/>
          <w:szCs w:val="22"/>
        </w:rPr>
        <w:t xml:space="preserve">a qualitative RP analysis </w:t>
      </w:r>
      <w:r w:rsidR="00A918F5">
        <w:rPr>
          <w:bCs/>
          <w:sz w:val="22"/>
          <w:szCs w:val="22"/>
        </w:rPr>
        <w:t>was not necessary</w:t>
      </w:r>
      <w:r>
        <w:rPr>
          <w:bCs/>
          <w:sz w:val="22"/>
          <w:szCs w:val="22"/>
        </w:rPr>
        <w:t xml:space="preserve"> at this time. The results of the RP analysis was Outcome </w:t>
      </w:r>
      <w:r w:rsidR="00A918F5">
        <w:rPr>
          <w:bCs/>
          <w:sz w:val="22"/>
          <w:szCs w:val="22"/>
        </w:rPr>
        <w:t>C:</w:t>
      </w:r>
      <w:r w:rsidR="00A918F5" w:rsidRPr="00A918F5">
        <w:rPr>
          <w:sz w:val="22"/>
          <w:szCs w:val="22"/>
        </w:rPr>
        <w:t xml:space="preserve"> </w:t>
      </w:r>
      <w:r w:rsidR="00A918F5">
        <w:rPr>
          <w:sz w:val="22"/>
          <w:szCs w:val="22"/>
        </w:rPr>
        <w:t>No new effluent limitation,</w:t>
      </w:r>
      <w:r w:rsidR="00A918F5" w:rsidRPr="0047665C">
        <w:rPr>
          <w:sz w:val="22"/>
          <w:szCs w:val="22"/>
        </w:rPr>
        <w:t xml:space="preserve"> Routine monitoring requirements maintained as they are in the permit</w:t>
      </w:r>
      <w:r w:rsidR="00A918F5">
        <w:rPr>
          <w:sz w:val="22"/>
          <w:szCs w:val="22"/>
        </w:rPr>
        <w:t>.</w:t>
      </w:r>
    </w:p>
    <w:p w:rsidR="00906261" w:rsidRDefault="00906261" w:rsidP="00906261">
      <w:pPr>
        <w:widowControl/>
        <w:jc w:val="both"/>
        <w:rPr>
          <w:bCs/>
          <w:sz w:val="22"/>
          <w:szCs w:val="22"/>
        </w:rPr>
      </w:pPr>
    </w:p>
    <w:p w:rsidR="00906261" w:rsidRDefault="00B57FDC" w:rsidP="006B1AD6">
      <w:pPr>
        <w:jc w:val="both"/>
        <w:rPr>
          <w:sz w:val="22"/>
          <w:szCs w:val="22"/>
        </w:rPr>
      </w:pPr>
      <w:r w:rsidRPr="00DE7149">
        <w:rPr>
          <w:sz w:val="22"/>
          <w:szCs w:val="22"/>
        </w:rPr>
        <w:t xml:space="preserve">The permittee is expected to be </w:t>
      </w:r>
      <w:r w:rsidRPr="00952FFC">
        <w:rPr>
          <w:sz w:val="22"/>
          <w:szCs w:val="22"/>
        </w:rPr>
        <w:t>able to comply with these limitatio</w:t>
      </w:r>
      <w:r>
        <w:rPr>
          <w:sz w:val="22"/>
          <w:szCs w:val="22"/>
        </w:rPr>
        <w:t xml:space="preserve">ns </w:t>
      </w:r>
      <w:r w:rsidR="00E2185B">
        <w:rPr>
          <w:sz w:val="22"/>
          <w:szCs w:val="22"/>
        </w:rPr>
        <w:t>as follows:</w:t>
      </w:r>
    </w:p>
    <w:p w:rsidR="00E2185B" w:rsidRDefault="00E2185B" w:rsidP="006B1AD6">
      <w:pPr>
        <w:jc w:val="both"/>
        <w:rPr>
          <w:sz w:val="22"/>
          <w:szCs w:val="22"/>
        </w:rPr>
      </w:pPr>
    </w:p>
    <w:tbl>
      <w:tblPr>
        <w:tblW w:w="9260" w:type="dxa"/>
        <w:tblInd w:w="93" w:type="dxa"/>
        <w:tblLook w:val="04A0" w:firstRow="1" w:lastRow="0" w:firstColumn="1" w:lastColumn="0" w:noHBand="0" w:noVBand="1"/>
      </w:tblPr>
      <w:tblGrid>
        <w:gridCol w:w="4213"/>
        <w:gridCol w:w="1107"/>
        <w:gridCol w:w="1330"/>
        <w:gridCol w:w="1280"/>
        <w:gridCol w:w="1330"/>
      </w:tblGrid>
      <w:tr w:rsidR="00E2185B" w:rsidRPr="00E2185B" w:rsidTr="00AD5472">
        <w:trPr>
          <w:trHeight w:val="330"/>
        </w:trPr>
        <w:tc>
          <w:tcPr>
            <w:tcW w:w="9260" w:type="dxa"/>
            <w:gridSpan w:val="5"/>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E2185B" w:rsidRPr="00E2185B" w:rsidRDefault="00E2185B" w:rsidP="00E2185B">
            <w:pPr>
              <w:widowControl/>
              <w:jc w:val="center"/>
              <w:rPr>
                <w:b/>
                <w:bCs/>
                <w:snapToGrid/>
                <w:color w:val="000000"/>
                <w:sz w:val="22"/>
                <w:szCs w:val="22"/>
              </w:rPr>
            </w:pPr>
            <w:r w:rsidRPr="00E2185B">
              <w:rPr>
                <w:b/>
                <w:bCs/>
                <w:snapToGrid/>
                <w:color w:val="000000"/>
                <w:sz w:val="22"/>
                <w:szCs w:val="22"/>
              </w:rPr>
              <w:t xml:space="preserve">Effluent Limitations </w:t>
            </w:r>
            <w:r w:rsidR="001A7B3B">
              <w:rPr>
                <w:snapToGrid/>
                <w:color w:val="000000"/>
                <w:sz w:val="22"/>
                <w:szCs w:val="22"/>
              </w:rPr>
              <w:t>*a</w:t>
            </w:r>
          </w:p>
        </w:tc>
      </w:tr>
      <w:tr w:rsidR="00E2185B" w:rsidRPr="00E2185B" w:rsidTr="00AD5472">
        <w:trPr>
          <w:trHeight w:val="315"/>
        </w:trPr>
        <w:tc>
          <w:tcPr>
            <w:tcW w:w="4213" w:type="dxa"/>
            <w:tcBorders>
              <w:top w:val="nil"/>
              <w:left w:val="single" w:sz="8" w:space="0" w:color="auto"/>
              <w:bottom w:val="nil"/>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 </w:t>
            </w:r>
          </w:p>
        </w:tc>
        <w:tc>
          <w:tcPr>
            <w:tcW w:w="1107" w:type="dxa"/>
            <w:tcBorders>
              <w:top w:val="nil"/>
              <w:left w:val="nil"/>
              <w:bottom w:val="nil"/>
              <w:right w:val="single" w:sz="4"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 </w:t>
            </w:r>
          </w:p>
        </w:tc>
        <w:tc>
          <w:tcPr>
            <w:tcW w:w="1330" w:type="dxa"/>
            <w:tcBorders>
              <w:top w:val="nil"/>
              <w:left w:val="nil"/>
              <w:bottom w:val="nil"/>
              <w:right w:val="nil"/>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Maximum</w:t>
            </w:r>
          </w:p>
        </w:tc>
        <w:tc>
          <w:tcPr>
            <w:tcW w:w="1280" w:type="dxa"/>
            <w:tcBorders>
              <w:top w:val="nil"/>
              <w:left w:val="single" w:sz="4" w:space="0" w:color="auto"/>
              <w:bottom w:val="nil"/>
              <w:right w:val="single" w:sz="4"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 </w:t>
            </w:r>
          </w:p>
        </w:tc>
        <w:tc>
          <w:tcPr>
            <w:tcW w:w="1330" w:type="dxa"/>
            <w:tcBorders>
              <w:top w:val="nil"/>
              <w:left w:val="nil"/>
              <w:bottom w:val="nil"/>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 </w:t>
            </w:r>
          </w:p>
        </w:tc>
      </w:tr>
      <w:tr w:rsidR="00E2185B" w:rsidRPr="00E2185B" w:rsidTr="00AD5472">
        <w:trPr>
          <w:trHeight w:val="315"/>
        </w:trPr>
        <w:tc>
          <w:tcPr>
            <w:tcW w:w="4213" w:type="dxa"/>
            <w:tcBorders>
              <w:top w:val="nil"/>
              <w:left w:val="single" w:sz="8" w:space="0" w:color="auto"/>
              <w:bottom w:val="nil"/>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 </w:t>
            </w:r>
          </w:p>
        </w:tc>
        <w:tc>
          <w:tcPr>
            <w:tcW w:w="1107" w:type="dxa"/>
            <w:tcBorders>
              <w:top w:val="nil"/>
              <w:left w:val="nil"/>
              <w:bottom w:val="nil"/>
              <w:right w:val="single" w:sz="4"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Monthly</w:t>
            </w:r>
          </w:p>
        </w:tc>
        <w:tc>
          <w:tcPr>
            <w:tcW w:w="1330" w:type="dxa"/>
            <w:tcBorders>
              <w:top w:val="nil"/>
              <w:left w:val="nil"/>
              <w:bottom w:val="nil"/>
              <w:right w:val="nil"/>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Weekly</w:t>
            </w:r>
          </w:p>
        </w:tc>
        <w:tc>
          <w:tcPr>
            <w:tcW w:w="1280" w:type="dxa"/>
            <w:tcBorders>
              <w:top w:val="nil"/>
              <w:left w:val="single" w:sz="4" w:space="0" w:color="auto"/>
              <w:bottom w:val="nil"/>
              <w:right w:val="single" w:sz="4"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Daily</w:t>
            </w:r>
          </w:p>
        </w:tc>
        <w:tc>
          <w:tcPr>
            <w:tcW w:w="1330" w:type="dxa"/>
            <w:tcBorders>
              <w:top w:val="nil"/>
              <w:left w:val="nil"/>
              <w:bottom w:val="nil"/>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Daily</w:t>
            </w:r>
          </w:p>
        </w:tc>
      </w:tr>
      <w:tr w:rsidR="00E2185B" w:rsidRPr="00E2185B" w:rsidTr="00AD5472">
        <w:trPr>
          <w:trHeight w:val="330"/>
        </w:trPr>
        <w:tc>
          <w:tcPr>
            <w:tcW w:w="4213" w:type="dxa"/>
            <w:tcBorders>
              <w:top w:val="nil"/>
              <w:left w:val="single" w:sz="8" w:space="0" w:color="auto"/>
              <w:bottom w:val="double" w:sz="6"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Parameter</w:t>
            </w:r>
          </w:p>
        </w:tc>
        <w:tc>
          <w:tcPr>
            <w:tcW w:w="1107" w:type="dxa"/>
            <w:tcBorders>
              <w:top w:val="nil"/>
              <w:left w:val="nil"/>
              <w:bottom w:val="double" w:sz="6" w:space="0" w:color="auto"/>
              <w:right w:val="single" w:sz="4"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Average</w:t>
            </w:r>
          </w:p>
        </w:tc>
        <w:tc>
          <w:tcPr>
            <w:tcW w:w="1330" w:type="dxa"/>
            <w:tcBorders>
              <w:top w:val="nil"/>
              <w:left w:val="nil"/>
              <w:bottom w:val="double" w:sz="6" w:space="0" w:color="auto"/>
              <w:right w:val="nil"/>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Average</w:t>
            </w:r>
          </w:p>
        </w:tc>
        <w:tc>
          <w:tcPr>
            <w:tcW w:w="1280" w:type="dxa"/>
            <w:tcBorders>
              <w:top w:val="nil"/>
              <w:left w:val="single" w:sz="4" w:space="0" w:color="auto"/>
              <w:bottom w:val="double" w:sz="6" w:space="0" w:color="auto"/>
              <w:right w:val="single" w:sz="4"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Minimum</w:t>
            </w:r>
          </w:p>
        </w:tc>
        <w:tc>
          <w:tcPr>
            <w:tcW w:w="1330" w:type="dxa"/>
            <w:tcBorders>
              <w:top w:val="nil"/>
              <w:left w:val="nil"/>
              <w:bottom w:val="double" w:sz="6"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Maximum</w:t>
            </w:r>
          </w:p>
        </w:tc>
      </w:tr>
      <w:tr w:rsidR="00E2185B" w:rsidRPr="00E2185B" w:rsidTr="00AD5472">
        <w:trPr>
          <w:trHeight w:val="330"/>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Total Flow, MGD</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2.0</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C24061" w:rsidP="00E2185B">
            <w:pPr>
              <w:widowControl/>
              <w:jc w:val="center"/>
              <w:rPr>
                <w:snapToGrid/>
                <w:color w:val="000000"/>
                <w:sz w:val="22"/>
                <w:szCs w:val="22"/>
              </w:rPr>
            </w:pPr>
            <w:r>
              <w:rPr>
                <w:snapToGrid/>
                <w:color w:val="000000"/>
                <w:sz w:val="22"/>
                <w:szCs w:val="22"/>
              </w:rPr>
              <w:t>3.0</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BOD5, mg/L</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25</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35</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BOD5, Minimum % Removal</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85</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TSS, mg/L</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25</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35</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TSS, Minimum % Removal</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85</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E. Coli, no./100mL</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126</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157</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r>
      <w:tr w:rsidR="00C24061"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tcPr>
          <w:p w:rsidR="00C24061" w:rsidRPr="00E2185B" w:rsidRDefault="00C24061" w:rsidP="003074F5">
            <w:pPr>
              <w:widowControl/>
              <w:jc w:val="center"/>
              <w:rPr>
                <w:snapToGrid/>
                <w:color w:val="000000"/>
                <w:sz w:val="22"/>
                <w:szCs w:val="22"/>
              </w:rPr>
            </w:pPr>
            <w:r>
              <w:rPr>
                <w:snapToGrid/>
                <w:color w:val="000000"/>
                <w:sz w:val="22"/>
                <w:szCs w:val="22"/>
              </w:rPr>
              <w:t>Ammonia (mg/L) Winter (Jan-March</w:t>
            </w:r>
            <w:r w:rsidRPr="00E2185B">
              <w:rPr>
                <w:snapToGrid/>
                <w:color w:val="000000"/>
                <w:sz w:val="22"/>
                <w:szCs w:val="22"/>
              </w:rPr>
              <w:t>)</w:t>
            </w:r>
          </w:p>
        </w:tc>
        <w:tc>
          <w:tcPr>
            <w:tcW w:w="1107" w:type="dxa"/>
            <w:tcBorders>
              <w:top w:val="nil"/>
              <w:left w:val="nil"/>
              <w:bottom w:val="single" w:sz="4" w:space="0" w:color="auto"/>
              <w:right w:val="single" w:sz="4" w:space="0" w:color="auto"/>
            </w:tcBorders>
            <w:shd w:val="clear" w:color="auto" w:fill="auto"/>
            <w:noWrap/>
            <w:vAlign w:val="center"/>
          </w:tcPr>
          <w:p w:rsidR="00C24061" w:rsidRPr="00E2185B" w:rsidRDefault="00C24061" w:rsidP="003074F5">
            <w:pPr>
              <w:widowControl/>
              <w:jc w:val="center"/>
              <w:rPr>
                <w:snapToGrid/>
                <w:color w:val="000000"/>
                <w:sz w:val="22"/>
                <w:szCs w:val="22"/>
              </w:rPr>
            </w:pPr>
            <w:r w:rsidRPr="00E2185B">
              <w:rPr>
                <w:snapToGrid/>
                <w:color w:val="000000"/>
                <w:sz w:val="22"/>
                <w:szCs w:val="22"/>
              </w:rPr>
              <w:t>15</w:t>
            </w:r>
          </w:p>
        </w:tc>
        <w:tc>
          <w:tcPr>
            <w:tcW w:w="1330" w:type="dxa"/>
            <w:tcBorders>
              <w:top w:val="nil"/>
              <w:left w:val="nil"/>
              <w:bottom w:val="single" w:sz="4" w:space="0" w:color="auto"/>
              <w:right w:val="single" w:sz="4" w:space="0" w:color="auto"/>
            </w:tcBorders>
            <w:shd w:val="clear" w:color="auto" w:fill="auto"/>
            <w:noWrap/>
            <w:vAlign w:val="center"/>
          </w:tcPr>
          <w:p w:rsidR="00C24061" w:rsidRPr="00E2185B" w:rsidRDefault="00C24061" w:rsidP="003074F5">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tcPr>
          <w:p w:rsidR="00C24061" w:rsidRPr="00E2185B" w:rsidRDefault="00C24061" w:rsidP="003074F5">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tcPr>
          <w:p w:rsidR="00C24061" w:rsidRPr="00E2185B" w:rsidRDefault="00C24061" w:rsidP="003074F5">
            <w:pPr>
              <w:widowControl/>
              <w:jc w:val="center"/>
              <w:rPr>
                <w:snapToGrid/>
                <w:color w:val="000000"/>
                <w:sz w:val="22"/>
                <w:szCs w:val="22"/>
              </w:rPr>
            </w:pPr>
            <w:r>
              <w:rPr>
                <w:snapToGrid/>
                <w:color w:val="000000"/>
                <w:sz w:val="22"/>
                <w:szCs w:val="22"/>
              </w:rPr>
              <w:t>25</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Ammonia (mg/L) Spring (April-Jun)</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15</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30</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Ammonia (mg/L) Summer (July- Sep)</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2.5</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12</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Ammonia (mg/L) Fall (Oct-Dec)</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5</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17</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Dissolved Oxygen, mg/L</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5.0</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r>
      <w:tr w:rsidR="00E2185B" w:rsidRPr="00E2185B" w:rsidTr="00AD5472">
        <w:trPr>
          <w:trHeight w:val="315"/>
        </w:trPr>
        <w:tc>
          <w:tcPr>
            <w:tcW w:w="4213"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Oil &amp; Grease, mg/L</w:t>
            </w:r>
          </w:p>
        </w:tc>
        <w:tc>
          <w:tcPr>
            <w:tcW w:w="1107"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10.0</w:t>
            </w:r>
          </w:p>
        </w:tc>
      </w:tr>
      <w:tr w:rsidR="00E2185B" w:rsidRPr="00E2185B" w:rsidTr="00AD5472">
        <w:trPr>
          <w:trHeight w:val="330"/>
        </w:trPr>
        <w:tc>
          <w:tcPr>
            <w:tcW w:w="4213" w:type="dxa"/>
            <w:tcBorders>
              <w:top w:val="nil"/>
              <w:left w:val="single" w:sz="8" w:space="0" w:color="auto"/>
              <w:bottom w:val="single" w:sz="8"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pH, Standard Units</w:t>
            </w:r>
          </w:p>
        </w:tc>
        <w:tc>
          <w:tcPr>
            <w:tcW w:w="1107" w:type="dxa"/>
            <w:tcBorders>
              <w:top w:val="nil"/>
              <w:left w:val="nil"/>
              <w:bottom w:val="single" w:sz="8"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330" w:type="dxa"/>
            <w:tcBorders>
              <w:top w:val="nil"/>
              <w:left w:val="nil"/>
              <w:bottom w:val="single" w:sz="8"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NA</w:t>
            </w:r>
          </w:p>
        </w:tc>
        <w:tc>
          <w:tcPr>
            <w:tcW w:w="1280" w:type="dxa"/>
            <w:tcBorders>
              <w:top w:val="nil"/>
              <w:left w:val="nil"/>
              <w:bottom w:val="single" w:sz="8"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6.5</w:t>
            </w:r>
          </w:p>
        </w:tc>
        <w:tc>
          <w:tcPr>
            <w:tcW w:w="1330" w:type="dxa"/>
            <w:tcBorders>
              <w:top w:val="nil"/>
              <w:left w:val="nil"/>
              <w:bottom w:val="single" w:sz="8"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9.0</w:t>
            </w:r>
          </w:p>
        </w:tc>
      </w:tr>
    </w:tbl>
    <w:p w:rsidR="008C5828" w:rsidRPr="008C5828" w:rsidRDefault="008C5828" w:rsidP="008C5828">
      <w:pPr>
        <w:widowControl/>
        <w:jc w:val="both"/>
        <w:rPr>
          <w:sz w:val="22"/>
          <w:szCs w:val="22"/>
        </w:rPr>
      </w:pPr>
      <w:r>
        <w:rPr>
          <w:sz w:val="22"/>
          <w:szCs w:val="22"/>
        </w:rPr>
        <w:t>NA – Not Applicable;</w:t>
      </w:r>
      <w:r>
        <w:rPr>
          <w:sz w:val="22"/>
          <w:szCs w:val="22"/>
        </w:rPr>
        <w:tab/>
      </w:r>
      <w:r>
        <w:rPr>
          <w:sz w:val="22"/>
          <w:szCs w:val="22"/>
        </w:rPr>
        <w:tab/>
        <w:t>MGD – million gallons per day;</w:t>
      </w:r>
      <w:r>
        <w:rPr>
          <w:sz w:val="22"/>
          <w:szCs w:val="22"/>
        </w:rPr>
        <w:tab/>
      </w:r>
      <w:r>
        <w:rPr>
          <w:sz w:val="22"/>
          <w:szCs w:val="22"/>
        </w:rPr>
        <w:tab/>
        <w:t>mg/L – milligrams per liter</w:t>
      </w:r>
    </w:p>
    <w:p w:rsidR="00744742" w:rsidRPr="008C5828" w:rsidRDefault="00744742" w:rsidP="00744742">
      <w:pPr>
        <w:pStyle w:val="Notes"/>
        <w:tabs>
          <w:tab w:val="clear" w:pos="720"/>
        </w:tabs>
        <w:rPr>
          <w:color w:val="1F497D" w:themeColor="text2"/>
          <w:sz w:val="22"/>
          <w:szCs w:val="22"/>
        </w:rPr>
      </w:pPr>
    </w:p>
    <w:p w:rsidR="006924A4" w:rsidRDefault="006924A4" w:rsidP="00E71B47">
      <w:pPr>
        <w:pStyle w:val="Heading8"/>
        <w:tabs>
          <w:tab w:val="left" w:pos="-1440"/>
          <w:tab w:val="left" w:pos="-720"/>
          <w:tab w:val="center" w:pos="3612"/>
          <w:tab w:val="center" w:pos="5922"/>
          <w:tab w:val="center" w:pos="7686"/>
          <w:tab w:val="center" w:pos="9324"/>
        </w:tabs>
        <w:rPr>
          <w:sz w:val="22"/>
          <w:szCs w:val="22"/>
        </w:rPr>
      </w:pPr>
    </w:p>
    <w:p w:rsidR="00E71B47" w:rsidRPr="00DE7149" w:rsidRDefault="00E71B47" w:rsidP="00E71B47">
      <w:pPr>
        <w:pStyle w:val="Heading8"/>
        <w:tabs>
          <w:tab w:val="left" w:pos="-1440"/>
          <w:tab w:val="left" w:pos="-720"/>
          <w:tab w:val="center" w:pos="3612"/>
          <w:tab w:val="center" w:pos="5922"/>
          <w:tab w:val="center" w:pos="7686"/>
          <w:tab w:val="center" w:pos="9324"/>
        </w:tabs>
        <w:rPr>
          <w:sz w:val="22"/>
          <w:szCs w:val="22"/>
        </w:rPr>
      </w:pPr>
      <w:r w:rsidRPr="00DE7149">
        <w:rPr>
          <w:sz w:val="22"/>
          <w:szCs w:val="22"/>
        </w:rPr>
        <w:t>SELF-MONITORING AND REPORTING REQUIREMENTS</w:t>
      </w:r>
    </w:p>
    <w:p w:rsidR="00E71B47" w:rsidRDefault="00E71B47" w:rsidP="00E71B47">
      <w:pPr>
        <w:widowControl/>
        <w:tabs>
          <w:tab w:val="left" w:pos="-1440"/>
          <w:tab w:val="left" w:pos="-720"/>
          <w:tab w:val="center" w:pos="3612"/>
          <w:tab w:val="center" w:pos="5922"/>
          <w:tab w:val="center" w:pos="7686"/>
          <w:tab w:val="center" w:pos="9324"/>
        </w:tabs>
        <w:jc w:val="both"/>
        <w:rPr>
          <w:sz w:val="22"/>
          <w:szCs w:val="22"/>
        </w:rPr>
      </w:pPr>
      <w:r w:rsidRPr="00DE7149">
        <w:rPr>
          <w:sz w:val="22"/>
          <w:szCs w:val="22"/>
        </w:rPr>
        <w:t xml:space="preserve">The following self-monitoring requirements are the same as in the previous permit. The permit will require reports to be submitted monthly and </w:t>
      </w:r>
      <w:r w:rsidR="0063015E">
        <w:rPr>
          <w:sz w:val="22"/>
          <w:szCs w:val="22"/>
        </w:rPr>
        <w:t>annually</w:t>
      </w:r>
      <w:r w:rsidRPr="00DE7149">
        <w:rPr>
          <w:sz w:val="22"/>
          <w:szCs w:val="22"/>
        </w:rPr>
        <w:t xml:space="preserve">, as applicable, on Discharge Monitoring Report (DMR) forms due 28 days after the end of the monitoring period.  </w:t>
      </w:r>
      <w:r w:rsidR="00A475AD" w:rsidRPr="00A475AD">
        <w:rPr>
          <w:sz w:val="22"/>
          <w:szCs w:val="22"/>
        </w:rPr>
        <w:t xml:space="preserve">Effective January 1, 2017, monitoring results must be submitted using NetDMR unless the permittee has successfully petitioned for an exception. </w:t>
      </w:r>
      <w:r w:rsidRPr="001C077B">
        <w:rPr>
          <w:sz w:val="22"/>
          <w:szCs w:val="22"/>
        </w:rPr>
        <w:t>Lab sheets for biomonitoring must be attached to the biomonitoring DMR.  Lab sheets for metals and toxic organics must be attached to the DMRs.</w:t>
      </w:r>
    </w:p>
    <w:p w:rsidR="00E2185B" w:rsidRPr="00E2185B" w:rsidRDefault="00E2185B" w:rsidP="00E2185B">
      <w:pPr>
        <w:widowControl/>
        <w:tabs>
          <w:tab w:val="left" w:pos="-1440"/>
          <w:tab w:val="left" w:pos="-720"/>
          <w:tab w:val="center" w:pos="3612"/>
          <w:tab w:val="center" w:pos="5922"/>
          <w:tab w:val="center" w:pos="7686"/>
          <w:tab w:val="center" w:pos="9324"/>
        </w:tabs>
        <w:jc w:val="both"/>
      </w:pPr>
    </w:p>
    <w:tbl>
      <w:tblPr>
        <w:tblW w:w="8320" w:type="dxa"/>
        <w:tblInd w:w="93" w:type="dxa"/>
        <w:tblLook w:val="04A0" w:firstRow="1" w:lastRow="0" w:firstColumn="1" w:lastColumn="0" w:noHBand="0" w:noVBand="1"/>
      </w:tblPr>
      <w:tblGrid>
        <w:gridCol w:w="3520"/>
        <w:gridCol w:w="1600"/>
        <w:gridCol w:w="1600"/>
        <w:gridCol w:w="1600"/>
      </w:tblGrid>
      <w:tr w:rsidR="00E2185B" w:rsidRPr="00E2185B" w:rsidTr="003074F5">
        <w:trPr>
          <w:trHeight w:val="330"/>
        </w:trPr>
        <w:tc>
          <w:tcPr>
            <w:tcW w:w="832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E2185B" w:rsidRPr="00E2185B" w:rsidRDefault="00E2185B" w:rsidP="00E2185B">
            <w:pPr>
              <w:widowControl/>
              <w:jc w:val="center"/>
              <w:rPr>
                <w:b/>
                <w:bCs/>
                <w:snapToGrid/>
                <w:color w:val="000000"/>
                <w:sz w:val="22"/>
                <w:szCs w:val="22"/>
              </w:rPr>
            </w:pPr>
            <w:r w:rsidRPr="00E2185B">
              <w:rPr>
                <w:b/>
                <w:bCs/>
                <w:snapToGrid/>
                <w:color w:val="000000"/>
                <w:sz w:val="22"/>
                <w:szCs w:val="22"/>
              </w:rPr>
              <w:t xml:space="preserve">Self-Monitoring and Reporting Requirements </w:t>
            </w:r>
            <w:r w:rsidR="001A7B3B">
              <w:rPr>
                <w:snapToGrid/>
                <w:color w:val="000000"/>
                <w:sz w:val="22"/>
                <w:szCs w:val="22"/>
              </w:rPr>
              <w:t>*a</w:t>
            </w:r>
          </w:p>
        </w:tc>
      </w:tr>
      <w:tr w:rsidR="00E2185B" w:rsidRPr="00E2185B" w:rsidTr="003074F5">
        <w:trPr>
          <w:trHeight w:val="330"/>
        </w:trPr>
        <w:tc>
          <w:tcPr>
            <w:tcW w:w="3520" w:type="dxa"/>
            <w:tcBorders>
              <w:top w:val="nil"/>
              <w:left w:val="single" w:sz="8" w:space="0" w:color="auto"/>
              <w:bottom w:val="double" w:sz="6"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Parameter</w:t>
            </w:r>
          </w:p>
        </w:tc>
        <w:tc>
          <w:tcPr>
            <w:tcW w:w="1600" w:type="dxa"/>
            <w:tcBorders>
              <w:top w:val="nil"/>
              <w:left w:val="nil"/>
              <w:bottom w:val="double" w:sz="6" w:space="0" w:color="auto"/>
              <w:right w:val="single" w:sz="4"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Frequency</w:t>
            </w:r>
          </w:p>
        </w:tc>
        <w:tc>
          <w:tcPr>
            <w:tcW w:w="1600" w:type="dxa"/>
            <w:tcBorders>
              <w:top w:val="nil"/>
              <w:left w:val="nil"/>
              <w:bottom w:val="double" w:sz="6" w:space="0" w:color="auto"/>
              <w:right w:val="single" w:sz="4"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Sample Type</w:t>
            </w:r>
          </w:p>
        </w:tc>
        <w:tc>
          <w:tcPr>
            <w:tcW w:w="1600" w:type="dxa"/>
            <w:tcBorders>
              <w:top w:val="nil"/>
              <w:left w:val="nil"/>
              <w:bottom w:val="double" w:sz="6"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Units</w:t>
            </w:r>
          </w:p>
        </w:tc>
      </w:tr>
      <w:tr w:rsidR="00E2185B" w:rsidRPr="00E2185B" w:rsidTr="003074F5">
        <w:trPr>
          <w:trHeight w:val="330"/>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1A7B3B" w:rsidP="00E2185B">
            <w:pPr>
              <w:widowControl/>
              <w:jc w:val="center"/>
              <w:rPr>
                <w:snapToGrid/>
                <w:color w:val="000000"/>
                <w:sz w:val="22"/>
                <w:szCs w:val="22"/>
              </w:rPr>
            </w:pPr>
            <w:r>
              <w:rPr>
                <w:snapToGrid/>
                <w:color w:val="000000"/>
                <w:sz w:val="22"/>
                <w:szCs w:val="22"/>
              </w:rPr>
              <w:t>Total Flow *b *c</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Continuous</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Recorder</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MGD</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1A7B3B" w:rsidP="00E2185B">
            <w:pPr>
              <w:widowControl/>
              <w:jc w:val="center"/>
              <w:rPr>
                <w:snapToGrid/>
                <w:color w:val="000000"/>
                <w:sz w:val="22"/>
                <w:szCs w:val="22"/>
              </w:rPr>
            </w:pPr>
            <w:r>
              <w:rPr>
                <w:snapToGrid/>
                <w:color w:val="000000"/>
                <w:sz w:val="22"/>
                <w:szCs w:val="22"/>
              </w:rPr>
              <w:t>BOD5, Influent *d</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BOD5, Effluent</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BOD5, Minimum % Removal</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Calculation</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1A7B3B" w:rsidP="00E2185B">
            <w:pPr>
              <w:widowControl/>
              <w:jc w:val="center"/>
              <w:rPr>
                <w:snapToGrid/>
                <w:color w:val="000000"/>
                <w:sz w:val="22"/>
                <w:szCs w:val="22"/>
              </w:rPr>
            </w:pPr>
            <w:r>
              <w:rPr>
                <w:snapToGrid/>
                <w:color w:val="000000"/>
                <w:sz w:val="22"/>
                <w:szCs w:val="22"/>
              </w:rPr>
              <w:t>TSS, Influent *d</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TSS, Effluent</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TSS, Minimum % Removal</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Calculation</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E. Coli</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E2185B" w:rsidRPr="00E2185B" w:rsidRDefault="00E2185B" w:rsidP="00E2185B">
            <w:pPr>
              <w:widowControl/>
              <w:jc w:val="center"/>
              <w:rPr>
                <w:snapToGrid/>
                <w:color w:val="000000"/>
                <w:sz w:val="22"/>
                <w:szCs w:val="22"/>
              </w:rPr>
            </w:pPr>
            <w:r w:rsidRPr="00E2185B">
              <w:rPr>
                <w:snapToGrid/>
                <w:color w:val="000000"/>
                <w:sz w:val="22"/>
                <w:szCs w:val="22"/>
              </w:rPr>
              <w:t>Ammonia, effluent</w:t>
            </w:r>
          </w:p>
        </w:tc>
        <w:tc>
          <w:tcPr>
            <w:tcW w:w="1600" w:type="dxa"/>
            <w:tcBorders>
              <w:top w:val="nil"/>
              <w:left w:val="nil"/>
              <w:bottom w:val="single" w:sz="4" w:space="0" w:color="auto"/>
              <w:right w:val="single" w:sz="4" w:space="0" w:color="auto"/>
            </w:tcBorders>
            <w:shd w:val="clear" w:color="auto" w:fill="auto"/>
            <w:noWrap/>
            <w:vAlign w:val="center"/>
          </w:tcPr>
          <w:p w:rsidR="00E2185B" w:rsidRPr="00E2185B" w:rsidRDefault="00E2185B" w:rsidP="00E2185B">
            <w:pPr>
              <w:widowControl/>
              <w:jc w:val="center"/>
              <w:rPr>
                <w:snapToGrid/>
                <w:color w:val="000000"/>
                <w:sz w:val="22"/>
                <w:szCs w:val="22"/>
              </w:rPr>
            </w:pPr>
            <w:r w:rsidRPr="00E2185B">
              <w:rPr>
                <w:snapToGrid/>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tcPr>
          <w:p w:rsidR="00E2185B" w:rsidRPr="00E2185B" w:rsidRDefault="00E2185B" w:rsidP="00E2185B">
            <w:pPr>
              <w:widowControl/>
              <w:jc w:val="center"/>
              <w:rPr>
                <w:snapToGrid/>
                <w:color w:val="000000"/>
                <w:sz w:val="22"/>
                <w:szCs w:val="22"/>
              </w:rPr>
            </w:pPr>
            <w:r w:rsidRPr="00E2185B">
              <w:rPr>
                <w:snapToGrid/>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Total Phosphorus</w:t>
            </w:r>
            <w:r w:rsidR="00790C98">
              <w:rPr>
                <w:snapToGrid/>
                <w:color w:val="000000"/>
                <w:sz w:val="22"/>
                <w:szCs w:val="22"/>
              </w:rPr>
              <w:t>, Influent</w:t>
            </w:r>
            <w:r w:rsidRPr="00E2185B">
              <w:rPr>
                <w:snapToGrid/>
                <w:color w:val="000000"/>
                <w:sz w:val="22"/>
                <w:szCs w:val="22"/>
              </w:rPr>
              <w:t xml:space="preserve"> </w:t>
            </w:r>
            <w:r w:rsidR="001A7B3B">
              <w:rPr>
                <w:snapToGrid/>
                <w:color w:val="000000"/>
                <w:sz w:val="22"/>
                <w:szCs w:val="22"/>
              </w:rPr>
              <w:t>*d</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r w:rsidR="002B3FB2"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Total Phosphorus</w:t>
            </w:r>
            <w:r>
              <w:rPr>
                <w:snapToGrid/>
                <w:color w:val="000000"/>
                <w:sz w:val="22"/>
                <w:szCs w:val="22"/>
              </w:rPr>
              <w:t>, Effluent</w:t>
            </w:r>
            <w:r w:rsidRPr="00E2185B">
              <w:rPr>
                <w:snapToGrid/>
                <w:color w:val="000000"/>
                <w:sz w:val="22"/>
                <w:szCs w:val="22"/>
              </w:rPr>
              <w:t xml:space="preserve"> </w:t>
            </w:r>
            <w:r w:rsidR="001A7B3B">
              <w:rPr>
                <w:snapToGrid/>
                <w:color w:val="000000"/>
                <w:sz w:val="22"/>
                <w:szCs w:val="22"/>
              </w:rPr>
              <w:t>*e</w:t>
            </w:r>
          </w:p>
        </w:tc>
        <w:tc>
          <w:tcPr>
            <w:tcW w:w="1600" w:type="dxa"/>
            <w:tcBorders>
              <w:top w:val="nil"/>
              <w:left w:val="nil"/>
              <w:bottom w:val="single" w:sz="4" w:space="0" w:color="auto"/>
              <w:right w:val="single" w:sz="4"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mg/L</w:t>
            </w:r>
          </w:p>
        </w:tc>
      </w:tr>
      <w:tr w:rsidR="002B3FB2"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2B3FB2" w:rsidRPr="00E2185B" w:rsidRDefault="002B3FB2" w:rsidP="003074F5">
            <w:pPr>
              <w:widowControl/>
              <w:jc w:val="center"/>
              <w:rPr>
                <w:snapToGrid/>
                <w:color w:val="000000"/>
                <w:sz w:val="22"/>
                <w:szCs w:val="22"/>
              </w:rPr>
            </w:pPr>
            <w:r>
              <w:rPr>
                <w:sz w:val="22"/>
                <w:szCs w:val="22"/>
              </w:rPr>
              <w:t>O</w:t>
            </w:r>
            <w:r w:rsidRPr="001779DF">
              <w:rPr>
                <w:sz w:val="22"/>
                <w:szCs w:val="22"/>
              </w:rPr>
              <w:t>rthophosphate (as P)</w:t>
            </w:r>
            <w:r>
              <w:rPr>
                <w:sz w:val="22"/>
                <w:szCs w:val="22"/>
              </w:rPr>
              <w:t>, Effluent only</w:t>
            </w:r>
          </w:p>
        </w:tc>
        <w:tc>
          <w:tcPr>
            <w:tcW w:w="1600" w:type="dxa"/>
            <w:tcBorders>
              <w:top w:val="nil"/>
              <w:left w:val="nil"/>
              <w:bottom w:val="single" w:sz="4" w:space="0" w:color="auto"/>
              <w:right w:val="single" w:sz="4"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mg/L</w:t>
            </w:r>
          </w:p>
        </w:tc>
      </w:tr>
      <w:tr w:rsidR="00790C98"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790C98" w:rsidRPr="00E2185B" w:rsidRDefault="002B3FB2" w:rsidP="00E2185B">
            <w:pPr>
              <w:widowControl/>
              <w:jc w:val="center"/>
              <w:rPr>
                <w:snapToGrid/>
                <w:color w:val="000000"/>
                <w:sz w:val="22"/>
                <w:szCs w:val="22"/>
              </w:rPr>
            </w:pPr>
            <w:r>
              <w:rPr>
                <w:snapToGrid/>
                <w:color w:val="000000"/>
                <w:sz w:val="22"/>
                <w:szCs w:val="22"/>
              </w:rPr>
              <w:t>Total Kjeldahl N</w:t>
            </w:r>
            <w:r w:rsidR="00790C98" w:rsidRPr="00790C98">
              <w:rPr>
                <w:snapToGrid/>
                <w:color w:val="000000"/>
                <w:sz w:val="22"/>
                <w:szCs w:val="22"/>
              </w:rPr>
              <w:t>itrogen (as N)</w:t>
            </w:r>
            <w:r>
              <w:rPr>
                <w:snapToGrid/>
                <w:color w:val="000000"/>
                <w:sz w:val="22"/>
                <w:szCs w:val="22"/>
              </w:rPr>
              <w:t>, Influent</w:t>
            </w:r>
            <w:r w:rsidR="001A7B3B">
              <w:rPr>
                <w:snapToGrid/>
                <w:color w:val="000000"/>
                <w:sz w:val="22"/>
                <w:szCs w:val="22"/>
              </w:rPr>
              <w:t xml:space="preserve"> *d</w:t>
            </w:r>
          </w:p>
        </w:tc>
        <w:tc>
          <w:tcPr>
            <w:tcW w:w="1600" w:type="dxa"/>
            <w:tcBorders>
              <w:top w:val="nil"/>
              <w:left w:val="nil"/>
              <w:bottom w:val="single" w:sz="4" w:space="0" w:color="auto"/>
              <w:right w:val="single" w:sz="4" w:space="0" w:color="auto"/>
            </w:tcBorders>
            <w:shd w:val="clear" w:color="auto" w:fill="auto"/>
            <w:noWrap/>
            <w:vAlign w:val="center"/>
          </w:tcPr>
          <w:p w:rsidR="00790C98" w:rsidRPr="00E2185B" w:rsidRDefault="00790C98" w:rsidP="003074F5">
            <w:pPr>
              <w:widowControl/>
              <w:jc w:val="center"/>
              <w:rPr>
                <w:snapToGrid/>
                <w:color w:val="000000"/>
                <w:sz w:val="22"/>
                <w:szCs w:val="22"/>
              </w:rPr>
            </w:pPr>
            <w:r w:rsidRPr="00E2185B">
              <w:rPr>
                <w:snapToGrid/>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790C98" w:rsidRPr="00E2185B" w:rsidRDefault="00790C98" w:rsidP="003074F5">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790C98" w:rsidRPr="00E2185B" w:rsidRDefault="00790C98" w:rsidP="003074F5">
            <w:pPr>
              <w:widowControl/>
              <w:jc w:val="center"/>
              <w:rPr>
                <w:snapToGrid/>
                <w:color w:val="000000"/>
                <w:sz w:val="22"/>
                <w:szCs w:val="22"/>
              </w:rPr>
            </w:pPr>
            <w:r w:rsidRPr="00E2185B">
              <w:rPr>
                <w:snapToGrid/>
                <w:color w:val="000000"/>
                <w:sz w:val="22"/>
                <w:szCs w:val="22"/>
              </w:rPr>
              <w:t>mg/L</w:t>
            </w:r>
          </w:p>
        </w:tc>
      </w:tr>
      <w:tr w:rsidR="002B3FB2"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2B3FB2" w:rsidRPr="00E2185B" w:rsidRDefault="002B3FB2" w:rsidP="003074F5">
            <w:pPr>
              <w:widowControl/>
              <w:jc w:val="center"/>
              <w:rPr>
                <w:snapToGrid/>
                <w:color w:val="000000"/>
                <w:sz w:val="22"/>
                <w:szCs w:val="22"/>
              </w:rPr>
            </w:pPr>
            <w:r>
              <w:rPr>
                <w:snapToGrid/>
                <w:color w:val="000000"/>
                <w:sz w:val="22"/>
                <w:szCs w:val="22"/>
              </w:rPr>
              <w:t>Total Kjeldahl N</w:t>
            </w:r>
            <w:r w:rsidRPr="00790C98">
              <w:rPr>
                <w:snapToGrid/>
                <w:color w:val="000000"/>
                <w:sz w:val="22"/>
                <w:szCs w:val="22"/>
              </w:rPr>
              <w:t>itrogen (as N)</w:t>
            </w:r>
            <w:r>
              <w:rPr>
                <w:snapToGrid/>
                <w:color w:val="000000"/>
                <w:sz w:val="22"/>
                <w:szCs w:val="22"/>
              </w:rPr>
              <w:t xml:space="preserve">, Effluent </w:t>
            </w:r>
          </w:p>
        </w:tc>
        <w:tc>
          <w:tcPr>
            <w:tcW w:w="1600" w:type="dxa"/>
            <w:tcBorders>
              <w:top w:val="nil"/>
              <w:left w:val="nil"/>
              <w:bottom w:val="single" w:sz="4" w:space="0" w:color="auto"/>
              <w:right w:val="single" w:sz="4"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mg/L</w:t>
            </w:r>
          </w:p>
        </w:tc>
      </w:tr>
      <w:tr w:rsidR="002B3FB2"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2B3FB2" w:rsidRPr="00E2185B" w:rsidRDefault="002B3FB2" w:rsidP="00E2185B">
            <w:pPr>
              <w:widowControl/>
              <w:jc w:val="center"/>
              <w:rPr>
                <w:snapToGrid/>
                <w:color w:val="000000"/>
                <w:sz w:val="22"/>
                <w:szCs w:val="22"/>
              </w:rPr>
            </w:pPr>
            <w:r>
              <w:rPr>
                <w:sz w:val="22"/>
                <w:szCs w:val="22"/>
              </w:rPr>
              <w:t>N</w:t>
            </w:r>
            <w:r w:rsidR="00161FB4">
              <w:rPr>
                <w:sz w:val="22"/>
                <w:szCs w:val="22"/>
              </w:rPr>
              <w:t>itrate (NO3)</w:t>
            </w:r>
            <w:r>
              <w:rPr>
                <w:sz w:val="22"/>
                <w:szCs w:val="22"/>
              </w:rPr>
              <w:t>, Effluent only</w:t>
            </w:r>
          </w:p>
        </w:tc>
        <w:tc>
          <w:tcPr>
            <w:tcW w:w="1600" w:type="dxa"/>
            <w:tcBorders>
              <w:top w:val="nil"/>
              <w:left w:val="nil"/>
              <w:bottom w:val="single" w:sz="4" w:space="0" w:color="auto"/>
              <w:right w:val="single" w:sz="4"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2B3FB2" w:rsidRPr="00E2185B" w:rsidRDefault="002B3FB2" w:rsidP="003074F5">
            <w:pPr>
              <w:widowControl/>
              <w:jc w:val="center"/>
              <w:rPr>
                <w:snapToGrid/>
                <w:color w:val="000000"/>
                <w:sz w:val="22"/>
                <w:szCs w:val="22"/>
              </w:rPr>
            </w:pPr>
            <w:r w:rsidRPr="00E2185B">
              <w:rPr>
                <w:snapToGrid/>
                <w:color w:val="000000"/>
                <w:sz w:val="22"/>
                <w:szCs w:val="22"/>
              </w:rPr>
              <w:t>mg/L</w:t>
            </w:r>
          </w:p>
        </w:tc>
      </w:tr>
      <w:tr w:rsidR="00161FB4"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tcPr>
          <w:p w:rsidR="00161FB4" w:rsidRPr="00E2185B" w:rsidRDefault="00161FB4" w:rsidP="003074F5">
            <w:pPr>
              <w:widowControl/>
              <w:jc w:val="center"/>
              <w:rPr>
                <w:snapToGrid/>
                <w:color w:val="000000"/>
                <w:sz w:val="22"/>
                <w:szCs w:val="22"/>
              </w:rPr>
            </w:pPr>
            <w:r>
              <w:rPr>
                <w:sz w:val="22"/>
                <w:szCs w:val="22"/>
              </w:rPr>
              <w:t>N</w:t>
            </w:r>
            <w:r w:rsidRPr="001779DF">
              <w:rPr>
                <w:sz w:val="22"/>
                <w:szCs w:val="22"/>
              </w:rPr>
              <w:t>itrite</w:t>
            </w:r>
            <w:r>
              <w:rPr>
                <w:sz w:val="22"/>
                <w:szCs w:val="22"/>
              </w:rPr>
              <w:t xml:space="preserve"> (NO2), Effluent only</w:t>
            </w:r>
          </w:p>
        </w:tc>
        <w:tc>
          <w:tcPr>
            <w:tcW w:w="1600" w:type="dxa"/>
            <w:tcBorders>
              <w:top w:val="nil"/>
              <w:left w:val="nil"/>
              <w:bottom w:val="single" w:sz="4" w:space="0" w:color="auto"/>
              <w:right w:val="single" w:sz="4" w:space="0" w:color="auto"/>
            </w:tcBorders>
            <w:shd w:val="clear" w:color="auto" w:fill="auto"/>
            <w:noWrap/>
            <w:vAlign w:val="center"/>
          </w:tcPr>
          <w:p w:rsidR="00161FB4" w:rsidRPr="00E2185B" w:rsidRDefault="00161FB4" w:rsidP="003074F5">
            <w:pPr>
              <w:widowControl/>
              <w:jc w:val="center"/>
              <w:rPr>
                <w:snapToGrid/>
                <w:color w:val="000000"/>
                <w:sz w:val="22"/>
                <w:szCs w:val="22"/>
              </w:rPr>
            </w:pPr>
            <w:r w:rsidRPr="00E2185B">
              <w:rPr>
                <w:snapToGrid/>
                <w:color w:val="000000"/>
                <w:sz w:val="22"/>
                <w:szCs w:val="22"/>
              </w:rPr>
              <w:t>Monthly</w:t>
            </w:r>
          </w:p>
        </w:tc>
        <w:tc>
          <w:tcPr>
            <w:tcW w:w="1600" w:type="dxa"/>
            <w:tcBorders>
              <w:top w:val="nil"/>
              <w:left w:val="nil"/>
              <w:bottom w:val="single" w:sz="4" w:space="0" w:color="auto"/>
              <w:right w:val="single" w:sz="4" w:space="0" w:color="auto"/>
            </w:tcBorders>
            <w:shd w:val="clear" w:color="auto" w:fill="auto"/>
            <w:noWrap/>
            <w:vAlign w:val="center"/>
          </w:tcPr>
          <w:p w:rsidR="00161FB4" w:rsidRPr="00E2185B" w:rsidRDefault="00161FB4" w:rsidP="003074F5">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tcPr>
          <w:p w:rsidR="00161FB4" w:rsidRPr="00E2185B" w:rsidRDefault="00161FB4" w:rsidP="003074F5">
            <w:pPr>
              <w:widowControl/>
              <w:jc w:val="center"/>
              <w:rPr>
                <w:snapToGrid/>
                <w:color w:val="000000"/>
                <w:sz w:val="22"/>
                <w:szCs w:val="22"/>
              </w:rPr>
            </w:pPr>
            <w:r w:rsidRPr="00E2185B">
              <w:rPr>
                <w:snapToGrid/>
                <w:color w:val="000000"/>
                <w:sz w:val="22"/>
                <w:szCs w:val="22"/>
              </w:rPr>
              <w:t>mg/L</w:t>
            </w:r>
          </w:p>
        </w:tc>
      </w:tr>
      <w:tr w:rsidR="00E2185B" w:rsidRPr="00E2185B" w:rsidTr="003074F5">
        <w:trPr>
          <w:trHeight w:val="300"/>
        </w:trPr>
        <w:tc>
          <w:tcPr>
            <w:tcW w:w="3520" w:type="dxa"/>
            <w:vMerge w:val="restart"/>
            <w:tcBorders>
              <w:top w:val="nil"/>
              <w:left w:val="single" w:sz="8" w:space="0" w:color="auto"/>
              <w:bottom w:val="single" w:sz="4" w:space="0" w:color="auto"/>
              <w:right w:val="single" w:sz="8" w:space="0" w:color="auto"/>
            </w:tcBorders>
            <w:shd w:val="clear" w:color="000000" w:fill="C0C0C0"/>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Oil &amp; Grease</w:t>
            </w:r>
            <w:r w:rsidR="001A7B3B">
              <w:rPr>
                <w:snapToGrid/>
                <w:color w:val="000000"/>
                <w:sz w:val="22"/>
                <w:szCs w:val="22"/>
              </w:rPr>
              <w:t xml:space="preserve"> *f</w:t>
            </w:r>
          </w:p>
        </w:tc>
        <w:tc>
          <w:tcPr>
            <w:tcW w:w="1600" w:type="dxa"/>
            <w:vMerge w:val="restart"/>
            <w:tcBorders>
              <w:top w:val="nil"/>
              <w:left w:val="nil"/>
              <w:bottom w:val="single" w:sz="4" w:space="0" w:color="auto"/>
              <w:right w:val="single" w:sz="4" w:space="0" w:color="auto"/>
            </w:tcBorders>
            <w:shd w:val="clear" w:color="auto" w:fill="auto"/>
            <w:vAlign w:val="center"/>
            <w:hideMark/>
          </w:tcPr>
          <w:p w:rsidR="00E2185B" w:rsidRPr="00B278FE" w:rsidRDefault="00C25774" w:rsidP="00E2185B">
            <w:pPr>
              <w:widowControl/>
              <w:jc w:val="center"/>
              <w:rPr>
                <w:snapToGrid/>
                <w:color w:val="000000"/>
                <w:sz w:val="22"/>
                <w:szCs w:val="22"/>
              </w:rPr>
            </w:pPr>
            <w:r>
              <w:rPr>
                <w:snapToGrid/>
                <w:color w:val="000000"/>
                <w:sz w:val="22"/>
                <w:szCs w:val="22"/>
              </w:rPr>
              <w:t>Monthly</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E2185B" w:rsidRPr="00B278FE" w:rsidRDefault="00B278FE" w:rsidP="00E2185B">
            <w:pPr>
              <w:widowControl/>
              <w:jc w:val="center"/>
              <w:rPr>
                <w:snapToGrid/>
                <w:color w:val="000000"/>
                <w:sz w:val="22"/>
                <w:szCs w:val="22"/>
              </w:rPr>
            </w:pPr>
            <w:r>
              <w:rPr>
                <w:snapToGrid/>
                <w:color w:val="000000"/>
                <w:sz w:val="22"/>
                <w:szCs w:val="22"/>
              </w:rPr>
              <w:t>Visual/</w:t>
            </w:r>
            <w:r w:rsidR="00E2185B" w:rsidRPr="00B278FE">
              <w:rPr>
                <w:snapToGrid/>
                <w:color w:val="000000"/>
                <w:sz w:val="22"/>
                <w:szCs w:val="22"/>
              </w:rPr>
              <w:t>Grab</w:t>
            </w:r>
          </w:p>
        </w:tc>
        <w:tc>
          <w:tcPr>
            <w:tcW w:w="1600" w:type="dxa"/>
            <w:vMerge w:val="restart"/>
            <w:tcBorders>
              <w:top w:val="nil"/>
              <w:left w:val="single" w:sz="4" w:space="0" w:color="auto"/>
              <w:bottom w:val="single" w:sz="4" w:space="0" w:color="auto"/>
              <w:right w:val="single" w:sz="8" w:space="0" w:color="auto"/>
            </w:tcBorders>
            <w:shd w:val="clear" w:color="auto" w:fill="auto"/>
            <w:vAlign w:val="center"/>
            <w:hideMark/>
          </w:tcPr>
          <w:p w:rsidR="00E2185B" w:rsidRPr="00B278FE" w:rsidRDefault="00E2185B" w:rsidP="00E2185B">
            <w:pPr>
              <w:widowControl/>
              <w:jc w:val="center"/>
              <w:rPr>
                <w:snapToGrid/>
                <w:color w:val="000000"/>
                <w:sz w:val="22"/>
                <w:szCs w:val="22"/>
              </w:rPr>
            </w:pPr>
            <w:r w:rsidRPr="00B278FE">
              <w:rPr>
                <w:snapToGrid/>
                <w:color w:val="000000"/>
                <w:sz w:val="22"/>
                <w:szCs w:val="22"/>
              </w:rPr>
              <w:t>mg/L</w:t>
            </w:r>
          </w:p>
        </w:tc>
      </w:tr>
      <w:tr w:rsidR="00E2185B" w:rsidRPr="00E2185B" w:rsidTr="003074F5">
        <w:trPr>
          <w:trHeight w:val="300"/>
        </w:trPr>
        <w:tc>
          <w:tcPr>
            <w:tcW w:w="3520" w:type="dxa"/>
            <w:vMerge/>
            <w:tcBorders>
              <w:top w:val="nil"/>
              <w:left w:val="single" w:sz="8" w:space="0" w:color="auto"/>
              <w:bottom w:val="single" w:sz="4" w:space="0" w:color="auto"/>
              <w:right w:val="single" w:sz="8" w:space="0" w:color="auto"/>
            </w:tcBorders>
            <w:vAlign w:val="center"/>
            <w:hideMark/>
          </w:tcPr>
          <w:p w:rsidR="00E2185B" w:rsidRPr="00E2185B" w:rsidRDefault="00E2185B" w:rsidP="00E2185B">
            <w:pPr>
              <w:widowControl/>
              <w:rPr>
                <w:snapToGrid/>
                <w:color w:val="000000"/>
                <w:sz w:val="22"/>
                <w:szCs w:val="22"/>
              </w:rPr>
            </w:pPr>
          </w:p>
        </w:tc>
        <w:tc>
          <w:tcPr>
            <w:tcW w:w="1600" w:type="dxa"/>
            <w:vMerge/>
            <w:tcBorders>
              <w:top w:val="nil"/>
              <w:left w:val="nil"/>
              <w:bottom w:val="single" w:sz="4" w:space="0" w:color="auto"/>
              <w:right w:val="single" w:sz="4" w:space="0" w:color="auto"/>
            </w:tcBorders>
            <w:vAlign w:val="center"/>
            <w:hideMark/>
          </w:tcPr>
          <w:p w:rsidR="00E2185B" w:rsidRPr="00E2185B" w:rsidRDefault="00E2185B" w:rsidP="00E2185B">
            <w:pPr>
              <w:widowControl/>
              <w:rPr>
                <w:snapToGrid/>
                <w:color w:val="000000"/>
                <w:sz w:val="22"/>
                <w:szCs w:val="22"/>
              </w:rPr>
            </w:pPr>
          </w:p>
        </w:tc>
        <w:tc>
          <w:tcPr>
            <w:tcW w:w="1600" w:type="dxa"/>
            <w:vMerge/>
            <w:tcBorders>
              <w:top w:val="nil"/>
              <w:left w:val="single" w:sz="4" w:space="0" w:color="auto"/>
              <w:bottom w:val="single" w:sz="4" w:space="0" w:color="auto"/>
              <w:right w:val="single" w:sz="4" w:space="0" w:color="auto"/>
            </w:tcBorders>
            <w:vAlign w:val="center"/>
            <w:hideMark/>
          </w:tcPr>
          <w:p w:rsidR="00E2185B" w:rsidRPr="00E2185B" w:rsidRDefault="00E2185B" w:rsidP="00E2185B">
            <w:pPr>
              <w:widowControl/>
              <w:rPr>
                <w:snapToGrid/>
                <w:color w:val="000000"/>
                <w:sz w:val="22"/>
                <w:szCs w:val="22"/>
              </w:rPr>
            </w:pPr>
          </w:p>
        </w:tc>
        <w:tc>
          <w:tcPr>
            <w:tcW w:w="1600" w:type="dxa"/>
            <w:vMerge/>
            <w:tcBorders>
              <w:top w:val="nil"/>
              <w:left w:val="single" w:sz="4" w:space="0" w:color="auto"/>
              <w:bottom w:val="single" w:sz="4" w:space="0" w:color="auto"/>
              <w:right w:val="single" w:sz="8" w:space="0" w:color="auto"/>
            </w:tcBorders>
            <w:vAlign w:val="center"/>
            <w:hideMark/>
          </w:tcPr>
          <w:p w:rsidR="00E2185B" w:rsidRPr="00E2185B" w:rsidRDefault="00E2185B" w:rsidP="00E2185B">
            <w:pPr>
              <w:widowControl/>
              <w:rPr>
                <w:snapToGrid/>
                <w:color w:val="000000"/>
                <w:sz w:val="22"/>
                <w:szCs w:val="22"/>
              </w:rPr>
            </w:pP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pH</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 x Week</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SU</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WET, Acute Biomonitoring</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AD5472" w:rsidP="00E2185B">
            <w:pPr>
              <w:widowControl/>
              <w:jc w:val="center"/>
              <w:rPr>
                <w:snapToGrid/>
                <w:color w:val="000000"/>
                <w:sz w:val="22"/>
                <w:szCs w:val="22"/>
              </w:rPr>
            </w:pPr>
            <w:r>
              <w:rPr>
                <w:snapToGrid/>
                <w:color w:val="000000"/>
                <w:sz w:val="22"/>
                <w:szCs w:val="22"/>
              </w:rPr>
              <w:t>Quarterly</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Pass/Fail</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Metals, Influent</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 x Year</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r w:rsidR="00E2185B" w:rsidRPr="00E2185B" w:rsidTr="003074F5">
        <w:trPr>
          <w:trHeight w:val="315"/>
        </w:trPr>
        <w:tc>
          <w:tcPr>
            <w:tcW w:w="3520" w:type="dxa"/>
            <w:tcBorders>
              <w:top w:val="nil"/>
              <w:left w:val="single" w:sz="8" w:space="0" w:color="auto"/>
              <w:bottom w:val="single" w:sz="4" w:space="0" w:color="auto"/>
              <w:right w:val="single" w:sz="8" w:space="0" w:color="auto"/>
            </w:tcBorders>
            <w:shd w:val="clear" w:color="000000" w:fill="C0C0C0"/>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Metals, Effluent</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2 x Year</w:t>
            </w:r>
          </w:p>
        </w:tc>
        <w:tc>
          <w:tcPr>
            <w:tcW w:w="1600" w:type="dxa"/>
            <w:tcBorders>
              <w:top w:val="nil"/>
              <w:left w:val="nil"/>
              <w:bottom w:val="single" w:sz="4"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Composite</w:t>
            </w:r>
          </w:p>
        </w:tc>
        <w:tc>
          <w:tcPr>
            <w:tcW w:w="1600" w:type="dxa"/>
            <w:tcBorders>
              <w:top w:val="nil"/>
              <w:left w:val="nil"/>
              <w:bottom w:val="single" w:sz="4"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r w:rsidR="00E2185B" w:rsidRPr="00E2185B" w:rsidTr="003074F5">
        <w:trPr>
          <w:trHeight w:val="390"/>
        </w:trPr>
        <w:tc>
          <w:tcPr>
            <w:tcW w:w="3520" w:type="dxa"/>
            <w:tcBorders>
              <w:top w:val="nil"/>
              <w:left w:val="single" w:sz="8" w:space="0" w:color="auto"/>
              <w:bottom w:val="single" w:sz="8" w:space="0" w:color="auto"/>
              <w:right w:val="single" w:sz="8" w:space="0" w:color="auto"/>
            </w:tcBorders>
            <w:shd w:val="clear" w:color="000000" w:fill="C0C0C0"/>
            <w:noWrap/>
            <w:vAlign w:val="center"/>
            <w:hideMark/>
          </w:tcPr>
          <w:p w:rsidR="00E2185B" w:rsidRPr="00E2185B" w:rsidRDefault="00E2185B" w:rsidP="00735F51">
            <w:pPr>
              <w:widowControl/>
              <w:jc w:val="center"/>
              <w:rPr>
                <w:snapToGrid/>
                <w:color w:val="000000"/>
                <w:sz w:val="22"/>
                <w:szCs w:val="22"/>
              </w:rPr>
            </w:pPr>
            <w:r w:rsidRPr="00E2185B">
              <w:rPr>
                <w:snapToGrid/>
                <w:color w:val="000000"/>
                <w:sz w:val="22"/>
                <w:szCs w:val="22"/>
              </w:rPr>
              <w:t>Organic Toxics</w:t>
            </w:r>
            <w:r w:rsidR="00735F51">
              <w:rPr>
                <w:snapToGrid/>
                <w:color w:val="000000"/>
                <w:sz w:val="22"/>
                <w:szCs w:val="22"/>
              </w:rPr>
              <w:t>, Influent and Effluent,</w:t>
            </w:r>
            <w:r w:rsidR="003A65EC">
              <w:rPr>
                <w:snapToGrid/>
                <w:color w:val="000000"/>
                <w:sz w:val="22"/>
                <w:szCs w:val="22"/>
              </w:rPr>
              <w:t xml:space="preserve"> </w:t>
            </w:r>
            <w:r w:rsidR="00735F51">
              <w:rPr>
                <w:snapToGrid/>
                <w:color w:val="000000"/>
                <w:sz w:val="22"/>
                <w:szCs w:val="22"/>
              </w:rPr>
              <w:t>*</w:t>
            </w:r>
            <w:r w:rsidR="003A65EC">
              <w:rPr>
                <w:snapToGrid/>
                <w:color w:val="000000"/>
                <w:sz w:val="22"/>
                <w:szCs w:val="22"/>
              </w:rPr>
              <w:t>g</w:t>
            </w:r>
          </w:p>
        </w:tc>
        <w:tc>
          <w:tcPr>
            <w:tcW w:w="1600" w:type="dxa"/>
            <w:tcBorders>
              <w:top w:val="nil"/>
              <w:left w:val="nil"/>
              <w:bottom w:val="single" w:sz="8" w:space="0" w:color="auto"/>
              <w:right w:val="single" w:sz="4" w:space="0" w:color="auto"/>
            </w:tcBorders>
            <w:shd w:val="clear" w:color="auto" w:fill="auto"/>
            <w:noWrap/>
            <w:vAlign w:val="center"/>
            <w:hideMark/>
          </w:tcPr>
          <w:p w:rsidR="00E2185B" w:rsidRPr="00E2185B" w:rsidRDefault="00735F51" w:rsidP="00735F51">
            <w:pPr>
              <w:widowControl/>
              <w:jc w:val="center"/>
              <w:rPr>
                <w:snapToGrid/>
                <w:color w:val="000000"/>
                <w:sz w:val="22"/>
                <w:szCs w:val="22"/>
              </w:rPr>
            </w:pPr>
            <w:r>
              <w:rPr>
                <w:snapToGrid/>
                <w:color w:val="000000"/>
                <w:sz w:val="22"/>
                <w:szCs w:val="22"/>
              </w:rPr>
              <w:t>1</w:t>
            </w:r>
            <w:r w:rsidRPr="00735F51">
              <w:rPr>
                <w:snapToGrid/>
                <w:color w:val="000000"/>
                <w:sz w:val="22"/>
                <w:szCs w:val="22"/>
                <w:vertAlign w:val="superscript"/>
              </w:rPr>
              <w:t>st</w:t>
            </w:r>
            <w:r>
              <w:rPr>
                <w:snapToGrid/>
                <w:color w:val="000000"/>
                <w:sz w:val="22"/>
                <w:szCs w:val="22"/>
              </w:rPr>
              <w:t>, 3</w:t>
            </w:r>
            <w:r w:rsidRPr="00735F51">
              <w:rPr>
                <w:snapToGrid/>
                <w:color w:val="000000"/>
                <w:sz w:val="22"/>
                <w:szCs w:val="22"/>
                <w:vertAlign w:val="superscript"/>
              </w:rPr>
              <w:t>rd</w:t>
            </w:r>
            <w:r>
              <w:rPr>
                <w:snapToGrid/>
                <w:color w:val="000000"/>
                <w:sz w:val="22"/>
                <w:szCs w:val="22"/>
              </w:rPr>
              <w:t xml:space="preserve">, </w:t>
            </w:r>
            <w:r w:rsidR="00E2185B" w:rsidRPr="00E2185B">
              <w:rPr>
                <w:snapToGrid/>
                <w:color w:val="000000"/>
                <w:sz w:val="22"/>
                <w:szCs w:val="22"/>
              </w:rPr>
              <w:t xml:space="preserve">&amp; </w:t>
            </w:r>
            <w:r>
              <w:rPr>
                <w:snapToGrid/>
                <w:color w:val="000000"/>
                <w:sz w:val="22"/>
                <w:szCs w:val="22"/>
              </w:rPr>
              <w:t>5</w:t>
            </w:r>
            <w:r w:rsidR="00E2185B" w:rsidRPr="00E2185B">
              <w:rPr>
                <w:snapToGrid/>
                <w:color w:val="000000"/>
                <w:sz w:val="22"/>
                <w:szCs w:val="22"/>
                <w:vertAlign w:val="superscript"/>
              </w:rPr>
              <w:t>th</w:t>
            </w:r>
            <w:r w:rsidR="00E2185B" w:rsidRPr="00E2185B">
              <w:rPr>
                <w:snapToGrid/>
                <w:color w:val="000000"/>
                <w:sz w:val="22"/>
                <w:szCs w:val="22"/>
              </w:rPr>
              <w:t xml:space="preserve"> Year</w:t>
            </w:r>
          </w:p>
        </w:tc>
        <w:tc>
          <w:tcPr>
            <w:tcW w:w="1600" w:type="dxa"/>
            <w:tcBorders>
              <w:top w:val="nil"/>
              <w:left w:val="nil"/>
              <w:bottom w:val="single" w:sz="8" w:space="0" w:color="auto"/>
              <w:right w:val="single" w:sz="4"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Grab</w:t>
            </w:r>
          </w:p>
        </w:tc>
        <w:tc>
          <w:tcPr>
            <w:tcW w:w="1600" w:type="dxa"/>
            <w:tcBorders>
              <w:top w:val="nil"/>
              <w:left w:val="nil"/>
              <w:bottom w:val="single" w:sz="8" w:space="0" w:color="auto"/>
              <w:right w:val="single" w:sz="8" w:space="0" w:color="auto"/>
            </w:tcBorders>
            <w:shd w:val="clear" w:color="auto" w:fill="auto"/>
            <w:noWrap/>
            <w:vAlign w:val="center"/>
            <w:hideMark/>
          </w:tcPr>
          <w:p w:rsidR="00E2185B" w:rsidRPr="00E2185B" w:rsidRDefault="00E2185B" w:rsidP="00E2185B">
            <w:pPr>
              <w:widowControl/>
              <w:jc w:val="center"/>
              <w:rPr>
                <w:snapToGrid/>
                <w:color w:val="000000"/>
                <w:sz w:val="22"/>
                <w:szCs w:val="22"/>
              </w:rPr>
            </w:pPr>
            <w:r w:rsidRPr="00E2185B">
              <w:rPr>
                <w:snapToGrid/>
                <w:color w:val="000000"/>
                <w:sz w:val="22"/>
                <w:szCs w:val="22"/>
              </w:rPr>
              <w:t>mg/L</w:t>
            </w:r>
          </w:p>
        </w:tc>
      </w:tr>
    </w:tbl>
    <w:p w:rsidR="00E2185B" w:rsidRPr="00E2185B" w:rsidRDefault="00E2185B" w:rsidP="00E2185B">
      <w:pPr>
        <w:widowControl/>
        <w:tabs>
          <w:tab w:val="left" w:pos="-1440"/>
          <w:tab w:val="left" w:pos="-720"/>
          <w:tab w:val="center" w:pos="3612"/>
          <w:tab w:val="center" w:pos="5922"/>
          <w:tab w:val="center" w:pos="7686"/>
          <w:tab w:val="center" w:pos="9324"/>
        </w:tabs>
        <w:jc w:val="both"/>
        <w:rPr>
          <w:sz w:val="22"/>
          <w:szCs w:val="22"/>
        </w:rPr>
      </w:pPr>
    </w:p>
    <w:p w:rsidR="00C24061" w:rsidRPr="00E2185B" w:rsidRDefault="001A7B3B" w:rsidP="001A7B3B">
      <w:pPr>
        <w:tabs>
          <w:tab w:val="left" w:pos="990"/>
        </w:tabs>
        <w:ind w:left="990"/>
        <w:jc w:val="both"/>
        <w:rPr>
          <w:sz w:val="22"/>
          <w:szCs w:val="22"/>
        </w:rPr>
      </w:pPr>
      <w:r>
        <w:rPr>
          <w:sz w:val="22"/>
          <w:szCs w:val="22"/>
        </w:rPr>
        <w:t>*a</w:t>
      </w:r>
      <w:r>
        <w:rPr>
          <w:sz w:val="22"/>
          <w:szCs w:val="22"/>
        </w:rPr>
        <w:tab/>
      </w:r>
      <w:r w:rsidR="00E2185B" w:rsidRPr="00E2185B">
        <w:rPr>
          <w:sz w:val="22"/>
          <w:szCs w:val="22"/>
        </w:rPr>
        <w:t xml:space="preserve">See Definitions, </w:t>
      </w:r>
      <w:r w:rsidR="00E2185B" w:rsidRPr="00E2185B">
        <w:rPr>
          <w:i/>
          <w:iCs/>
          <w:sz w:val="22"/>
          <w:szCs w:val="22"/>
        </w:rPr>
        <w:t>Part VIII</w:t>
      </w:r>
      <w:r w:rsidR="00E2185B" w:rsidRPr="00E2185B">
        <w:rPr>
          <w:sz w:val="22"/>
          <w:szCs w:val="22"/>
        </w:rPr>
        <w:t>, of the permit for definition of terms.</w:t>
      </w:r>
    </w:p>
    <w:p w:rsidR="00E2185B" w:rsidRPr="00E2185B" w:rsidRDefault="00E2185B" w:rsidP="00E2185B">
      <w:pPr>
        <w:widowControl/>
        <w:tabs>
          <w:tab w:val="left" w:pos="990"/>
        </w:tabs>
        <w:ind w:left="990"/>
        <w:rPr>
          <w:snapToGrid/>
          <w:sz w:val="22"/>
          <w:szCs w:val="22"/>
        </w:rPr>
      </w:pPr>
    </w:p>
    <w:p w:rsidR="00E2185B" w:rsidRPr="00E2185B" w:rsidRDefault="001A7B3B" w:rsidP="001A7B3B">
      <w:pPr>
        <w:tabs>
          <w:tab w:val="left" w:pos="1260"/>
        </w:tabs>
        <w:ind w:left="1440" w:hanging="450"/>
        <w:jc w:val="both"/>
        <w:rPr>
          <w:sz w:val="22"/>
          <w:szCs w:val="22"/>
        </w:rPr>
      </w:pPr>
      <w:r>
        <w:rPr>
          <w:sz w:val="22"/>
          <w:szCs w:val="22"/>
        </w:rPr>
        <w:t>*b</w:t>
      </w:r>
      <w:r>
        <w:rPr>
          <w:sz w:val="22"/>
          <w:szCs w:val="22"/>
        </w:rPr>
        <w:tab/>
      </w:r>
      <w:r>
        <w:rPr>
          <w:sz w:val="22"/>
          <w:szCs w:val="22"/>
        </w:rPr>
        <w:tab/>
      </w:r>
      <w:r w:rsidR="00E2185B" w:rsidRPr="00E2185B">
        <w:rPr>
          <w:sz w:val="22"/>
          <w:szCs w:val="22"/>
        </w:rPr>
        <w:t>Flow measurements of influent/effluent volume shall be made in such a manner that TWWTP can affirmatively demonstrate that representative values are being obtained.</w:t>
      </w:r>
    </w:p>
    <w:p w:rsidR="00E2185B" w:rsidRPr="00E2185B" w:rsidRDefault="00E2185B" w:rsidP="00E2185B">
      <w:pPr>
        <w:widowControl/>
        <w:tabs>
          <w:tab w:val="left" w:pos="990"/>
        </w:tabs>
        <w:ind w:left="990"/>
        <w:rPr>
          <w:snapToGrid/>
          <w:sz w:val="22"/>
          <w:szCs w:val="22"/>
        </w:rPr>
      </w:pPr>
    </w:p>
    <w:p w:rsidR="00E2185B" w:rsidRPr="00E2185B" w:rsidRDefault="001A7B3B" w:rsidP="00E2185B">
      <w:pPr>
        <w:tabs>
          <w:tab w:val="left" w:pos="1260"/>
        </w:tabs>
        <w:ind w:left="1260" w:hanging="270"/>
        <w:jc w:val="both"/>
        <w:rPr>
          <w:sz w:val="22"/>
          <w:szCs w:val="22"/>
        </w:rPr>
      </w:pPr>
      <w:r>
        <w:rPr>
          <w:sz w:val="22"/>
          <w:szCs w:val="22"/>
        </w:rPr>
        <w:lastRenderedPageBreak/>
        <w:t>*c</w:t>
      </w:r>
      <w:r>
        <w:rPr>
          <w:sz w:val="22"/>
          <w:szCs w:val="22"/>
        </w:rPr>
        <w:tab/>
      </w:r>
      <w:r>
        <w:rPr>
          <w:sz w:val="22"/>
          <w:szCs w:val="22"/>
        </w:rPr>
        <w:tab/>
      </w:r>
      <w:proofErr w:type="gramStart"/>
      <w:r w:rsidR="00E2185B" w:rsidRPr="00E2185B">
        <w:rPr>
          <w:sz w:val="22"/>
          <w:szCs w:val="22"/>
        </w:rPr>
        <w:t>If</w:t>
      </w:r>
      <w:proofErr w:type="gramEnd"/>
      <w:r w:rsidR="00E2185B" w:rsidRPr="00E2185B">
        <w:rPr>
          <w:sz w:val="22"/>
          <w:szCs w:val="22"/>
        </w:rPr>
        <w:t xml:space="preserve"> the rate of discharge is controlled, the rate and duration of discharge shall be reported.</w:t>
      </w:r>
    </w:p>
    <w:p w:rsidR="00E2185B" w:rsidRPr="00E2185B" w:rsidRDefault="00E2185B" w:rsidP="00E2185B">
      <w:pPr>
        <w:widowControl/>
        <w:tabs>
          <w:tab w:val="left" w:pos="990"/>
        </w:tabs>
        <w:ind w:left="990"/>
        <w:rPr>
          <w:snapToGrid/>
          <w:sz w:val="22"/>
          <w:szCs w:val="22"/>
        </w:rPr>
      </w:pPr>
    </w:p>
    <w:p w:rsidR="00E2185B" w:rsidRPr="00E2185B" w:rsidRDefault="001A7B3B" w:rsidP="001A7B3B">
      <w:pPr>
        <w:tabs>
          <w:tab w:val="left" w:pos="1260"/>
        </w:tabs>
        <w:ind w:left="1440" w:hanging="450"/>
        <w:jc w:val="both"/>
        <w:rPr>
          <w:sz w:val="22"/>
          <w:szCs w:val="22"/>
        </w:rPr>
      </w:pPr>
      <w:r>
        <w:rPr>
          <w:sz w:val="22"/>
          <w:szCs w:val="22"/>
        </w:rPr>
        <w:t>*d</w:t>
      </w:r>
      <w:r>
        <w:rPr>
          <w:sz w:val="22"/>
          <w:szCs w:val="22"/>
        </w:rPr>
        <w:tab/>
      </w:r>
      <w:r>
        <w:rPr>
          <w:sz w:val="22"/>
          <w:szCs w:val="22"/>
        </w:rPr>
        <w:tab/>
      </w:r>
      <w:r w:rsidR="00E2185B" w:rsidRPr="00E2185B">
        <w:rPr>
          <w:sz w:val="22"/>
          <w:szCs w:val="22"/>
        </w:rPr>
        <w:t>In addition to monitoring the final discharge, influent samples shall be taken and analyzed for this constituent at the same frequency as required for this constituent in the discharge.</w:t>
      </w:r>
    </w:p>
    <w:p w:rsidR="00E2185B" w:rsidRPr="00E2185B" w:rsidRDefault="00E2185B" w:rsidP="00E2185B">
      <w:pPr>
        <w:tabs>
          <w:tab w:val="left" w:pos="1260"/>
        </w:tabs>
        <w:ind w:left="1260" w:hanging="270"/>
        <w:jc w:val="both"/>
        <w:rPr>
          <w:sz w:val="22"/>
          <w:szCs w:val="22"/>
        </w:rPr>
      </w:pPr>
    </w:p>
    <w:p w:rsidR="00E2185B" w:rsidRPr="00E2185B" w:rsidRDefault="001A7B3B" w:rsidP="001A7B3B">
      <w:pPr>
        <w:tabs>
          <w:tab w:val="left" w:pos="1260"/>
        </w:tabs>
        <w:ind w:left="1440" w:hanging="450"/>
        <w:jc w:val="both"/>
        <w:rPr>
          <w:sz w:val="22"/>
          <w:szCs w:val="22"/>
        </w:rPr>
      </w:pPr>
      <w:r>
        <w:rPr>
          <w:sz w:val="22"/>
          <w:szCs w:val="22"/>
        </w:rPr>
        <w:t>*e</w:t>
      </w:r>
      <w:r>
        <w:rPr>
          <w:sz w:val="22"/>
          <w:szCs w:val="22"/>
        </w:rPr>
        <w:tab/>
      </w:r>
      <w:r>
        <w:rPr>
          <w:sz w:val="22"/>
          <w:szCs w:val="22"/>
        </w:rPr>
        <w:tab/>
      </w:r>
      <w:r w:rsidR="00E2185B" w:rsidRPr="00E2185B">
        <w:rPr>
          <w:sz w:val="22"/>
          <w:szCs w:val="22"/>
        </w:rPr>
        <w:t xml:space="preserve">Total Phosphorus is being </w:t>
      </w:r>
      <w:r w:rsidR="0019087F">
        <w:rPr>
          <w:sz w:val="22"/>
          <w:szCs w:val="22"/>
        </w:rPr>
        <w:t>sampled</w:t>
      </w:r>
      <w:r w:rsidR="008A4057" w:rsidRPr="008A4057">
        <w:rPr>
          <w:sz w:val="22"/>
          <w:szCs w:val="22"/>
        </w:rPr>
        <w:t xml:space="preserve"> </w:t>
      </w:r>
      <w:r w:rsidR="008A4057">
        <w:rPr>
          <w:sz w:val="22"/>
          <w:szCs w:val="22"/>
        </w:rPr>
        <w:t xml:space="preserve">to </w:t>
      </w:r>
      <w:r w:rsidR="008A4057" w:rsidRPr="00F2559C">
        <w:rPr>
          <w:sz w:val="22"/>
          <w:szCs w:val="22"/>
        </w:rPr>
        <w:t xml:space="preserve">reflect changes required with the adoption of UCA R317-1-3.3, Technology-based </w:t>
      </w:r>
      <w:r w:rsidR="008A4057">
        <w:rPr>
          <w:sz w:val="22"/>
          <w:szCs w:val="22"/>
        </w:rPr>
        <w:t>Phosphorus Effluent Limits rule and</w:t>
      </w:r>
      <w:r w:rsidR="0019087F">
        <w:rPr>
          <w:sz w:val="22"/>
          <w:szCs w:val="22"/>
        </w:rPr>
        <w:t xml:space="preserve"> in support of the </w:t>
      </w:r>
      <w:r w:rsidR="008A4057">
        <w:rPr>
          <w:sz w:val="22"/>
          <w:szCs w:val="22"/>
        </w:rPr>
        <w:t xml:space="preserve">implementation </w:t>
      </w:r>
      <w:r w:rsidR="0019087F">
        <w:rPr>
          <w:sz w:val="22"/>
          <w:szCs w:val="22"/>
        </w:rPr>
        <w:t xml:space="preserve">work </w:t>
      </w:r>
      <w:r w:rsidR="00E2185B" w:rsidRPr="00E2185B">
        <w:rPr>
          <w:sz w:val="22"/>
          <w:szCs w:val="22"/>
        </w:rPr>
        <w:t>being done</w:t>
      </w:r>
      <w:r w:rsidR="008A4057">
        <w:rPr>
          <w:sz w:val="22"/>
          <w:szCs w:val="22"/>
        </w:rPr>
        <w:t xml:space="preserve"> for the TMDL on</w:t>
      </w:r>
      <w:r w:rsidR="00E2185B" w:rsidRPr="00E2185B">
        <w:rPr>
          <w:sz w:val="22"/>
          <w:szCs w:val="22"/>
        </w:rPr>
        <w:t xml:space="preserve"> the Bear River</w:t>
      </w:r>
      <w:r w:rsidR="008A4057">
        <w:rPr>
          <w:sz w:val="22"/>
          <w:szCs w:val="22"/>
        </w:rPr>
        <w:t xml:space="preserve"> watershed</w:t>
      </w:r>
      <w:r w:rsidR="00E2185B" w:rsidRPr="00E2185B">
        <w:rPr>
          <w:sz w:val="22"/>
          <w:szCs w:val="22"/>
        </w:rPr>
        <w:t xml:space="preserve">. </w:t>
      </w:r>
    </w:p>
    <w:p w:rsidR="00E2185B" w:rsidRPr="00E2185B" w:rsidRDefault="00E2185B" w:rsidP="00E2185B">
      <w:pPr>
        <w:tabs>
          <w:tab w:val="left" w:pos="1260"/>
        </w:tabs>
        <w:ind w:left="1260" w:hanging="270"/>
        <w:jc w:val="both"/>
        <w:rPr>
          <w:sz w:val="22"/>
          <w:szCs w:val="22"/>
        </w:rPr>
      </w:pPr>
    </w:p>
    <w:p w:rsidR="003A65EC" w:rsidRPr="003A65EC" w:rsidRDefault="001A7B3B" w:rsidP="001A7B3B">
      <w:pPr>
        <w:tabs>
          <w:tab w:val="left" w:pos="1260"/>
        </w:tabs>
        <w:ind w:left="1440" w:hanging="450"/>
        <w:jc w:val="both"/>
        <w:rPr>
          <w:sz w:val="22"/>
          <w:szCs w:val="22"/>
        </w:rPr>
      </w:pPr>
      <w:r>
        <w:rPr>
          <w:sz w:val="22"/>
          <w:szCs w:val="22"/>
        </w:rPr>
        <w:t>*f</w:t>
      </w:r>
      <w:r>
        <w:rPr>
          <w:sz w:val="22"/>
          <w:szCs w:val="22"/>
        </w:rPr>
        <w:tab/>
      </w:r>
      <w:r>
        <w:rPr>
          <w:sz w:val="22"/>
          <w:szCs w:val="22"/>
        </w:rPr>
        <w:tab/>
      </w:r>
      <w:r w:rsidR="003A65EC" w:rsidRPr="003A65EC">
        <w:rPr>
          <w:sz w:val="22"/>
          <w:szCs w:val="22"/>
        </w:rPr>
        <w:t xml:space="preserve">Oil &amp; Grease </w:t>
      </w:r>
      <w:r w:rsidR="00C25774">
        <w:rPr>
          <w:sz w:val="22"/>
          <w:szCs w:val="22"/>
        </w:rPr>
        <w:t xml:space="preserve">to be </w:t>
      </w:r>
      <w:r w:rsidR="003A65EC" w:rsidRPr="003A65EC">
        <w:rPr>
          <w:sz w:val="22"/>
          <w:szCs w:val="22"/>
        </w:rPr>
        <w:t>sampled when sheen is present or visible. If no sheen is present or visible, report NA.</w:t>
      </w:r>
    </w:p>
    <w:p w:rsidR="003A65EC" w:rsidRDefault="003A65EC" w:rsidP="00E2185B">
      <w:pPr>
        <w:tabs>
          <w:tab w:val="left" w:pos="1260"/>
        </w:tabs>
        <w:ind w:left="1260" w:hanging="270"/>
        <w:jc w:val="both"/>
        <w:rPr>
          <w:sz w:val="22"/>
          <w:szCs w:val="22"/>
        </w:rPr>
      </w:pPr>
    </w:p>
    <w:p w:rsidR="00E2185B" w:rsidRPr="00E2185B" w:rsidRDefault="001A7B3B" w:rsidP="001A7B3B">
      <w:pPr>
        <w:tabs>
          <w:tab w:val="left" w:pos="1260"/>
        </w:tabs>
        <w:ind w:left="1440" w:hanging="450"/>
        <w:jc w:val="both"/>
        <w:rPr>
          <w:sz w:val="22"/>
          <w:szCs w:val="22"/>
        </w:rPr>
      </w:pPr>
      <w:r>
        <w:rPr>
          <w:snapToGrid/>
          <w:sz w:val="22"/>
          <w:szCs w:val="22"/>
        </w:rPr>
        <w:t>*g</w:t>
      </w:r>
      <w:r>
        <w:rPr>
          <w:snapToGrid/>
          <w:sz w:val="22"/>
          <w:szCs w:val="22"/>
        </w:rPr>
        <w:tab/>
      </w:r>
      <w:r>
        <w:rPr>
          <w:snapToGrid/>
          <w:sz w:val="22"/>
          <w:szCs w:val="22"/>
        </w:rPr>
        <w:tab/>
      </w:r>
      <w:r w:rsidR="00E2185B" w:rsidRPr="00E2185B">
        <w:rPr>
          <w:snapToGrid/>
          <w:sz w:val="22"/>
          <w:szCs w:val="22"/>
        </w:rPr>
        <w:t xml:space="preserve">Testing must be performed in the </w:t>
      </w:r>
      <w:r w:rsidR="00735F51">
        <w:rPr>
          <w:snapToGrid/>
          <w:sz w:val="22"/>
          <w:szCs w:val="22"/>
        </w:rPr>
        <w:t xml:space="preserve">first, third </w:t>
      </w:r>
      <w:r w:rsidR="00E2185B" w:rsidRPr="00E2185B">
        <w:rPr>
          <w:snapToGrid/>
          <w:sz w:val="22"/>
          <w:szCs w:val="22"/>
        </w:rPr>
        <w:t xml:space="preserve">and </w:t>
      </w:r>
      <w:r w:rsidR="00735F51">
        <w:rPr>
          <w:snapToGrid/>
          <w:sz w:val="22"/>
          <w:szCs w:val="22"/>
        </w:rPr>
        <w:t>fifth</w:t>
      </w:r>
      <w:r w:rsidR="00E2185B" w:rsidRPr="00E2185B">
        <w:rPr>
          <w:snapToGrid/>
          <w:sz w:val="22"/>
          <w:szCs w:val="22"/>
        </w:rPr>
        <w:t xml:space="preserve"> year of the permit cycle.  A list of the organics to be tested can be found in 40CFR122 appendix D table II.  If results of metal analysis are detectable, more frequent sampling of the metals may be required</w:t>
      </w:r>
      <w:r w:rsidR="00735F51">
        <w:rPr>
          <w:snapToGrid/>
          <w:sz w:val="22"/>
          <w:szCs w:val="22"/>
        </w:rPr>
        <w:t>.</w:t>
      </w:r>
    </w:p>
    <w:p w:rsidR="009E582A" w:rsidRPr="00AD5275" w:rsidRDefault="009E582A" w:rsidP="008A4057">
      <w:pPr>
        <w:pStyle w:val="Notes"/>
        <w:tabs>
          <w:tab w:val="clear" w:pos="720"/>
        </w:tabs>
        <w:jc w:val="both"/>
        <w:rPr>
          <w:sz w:val="22"/>
          <w:szCs w:val="22"/>
        </w:rPr>
      </w:pPr>
    </w:p>
    <w:p w:rsidR="00E71B47" w:rsidRPr="009E582A" w:rsidRDefault="00E71B47" w:rsidP="006B1AD6">
      <w:pPr>
        <w:tabs>
          <w:tab w:val="left" w:pos="720"/>
        </w:tabs>
        <w:ind w:left="720" w:hanging="360"/>
        <w:jc w:val="both"/>
        <w:rPr>
          <w:sz w:val="22"/>
          <w:szCs w:val="22"/>
        </w:rPr>
      </w:pPr>
    </w:p>
    <w:p w:rsidR="00E71B47" w:rsidRDefault="00E71B47" w:rsidP="006B1AD6">
      <w:pPr>
        <w:jc w:val="center"/>
        <w:rPr>
          <w:b/>
          <w:sz w:val="22"/>
          <w:szCs w:val="22"/>
          <w:u w:val="single"/>
        </w:rPr>
      </w:pPr>
      <w:r w:rsidRPr="00DE7149">
        <w:rPr>
          <w:b/>
          <w:sz w:val="22"/>
          <w:szCs w:val="22"/>
          <w:u w:val="single"/>
        </w:rPr>
        <w:t>BIOSOLIDS</w:t>
      </w:r>
    </w:p>
    <w:p w:rsidR="006476BF" w:rsidRPr="00DE7149" w:rsidRDefault="006476BF" w:rsidP="006B1AD6">
      <w:pPr>
        <w:jc w:val="center"/>
        <w:rPr>
          <w:b/>
          <w:sz w:val="22"/>
          <w:szCs w:val="22"/>
          <w:u w:val="single"/>
        </w:rPr>
      </w:pPr>
    </w:p>
    <w:p w:rsidR="00E71B47" w:rsidRPr="00DE7149" w:rsidRDefault="00E71B47" w:rsidP="006B1AD6">
      <w:pPr>
        <w:rPr>
          <w:sz w:val="22"/>
          <w:szCs w:val="22"/>
        </w:rPr>
      </w:pPr>
      <w:r w:rsidRPr="00DE7149">
        <w:rPr>
          <w:sz w:val="22"/>
          <w:szCs w:val="22"/>
        </w:rPr>
        <w:t xml:space="preserve">For clarification purposes, sewage sludge is considered solids, until treatment or testing shows that the solids are safe, and meet beneficial use standards. After the solids are tested or treated, the solids are then known as biosolids.  Class A </w:t>
      </w:r>
      <w:proofErr w:type="gramStart"/>
      <w:r w:rsidRPr="00DE7149">
        <w:rPr>
          <w:sz w:val="22"/>
          <w:szCs w:val="22"/>
        </w:rPr>
        <w:t>biosolids,</w:t>
      </w:r>
      <w:proofErr w:type="gramEnd"/>
      <w:r w:rsidRPr="00DE7149">
        <w:rPr>
          <w:sz w:val="22"/>
          <w:szCs w:val="22"/>
        </w:rPr>
        <w:t xml:space="preserve"> may be used for high public contact sites, such as home lawns and gardens, parks, or playing fields, etc.  Class B biosolids may be used for low public contact sites, such as farms, rangeland, or reclamation sites, etc. </w:t>
      </w:r>
    </w:p>
    <w:p w:rsidR="00E71B47" w:rsidRPr="00DE7149" w:rsidRDefault="00E71B47" w:rsidP="006B1AD6">
      <w:pPr>
        <w:rPr>
          <w:b/>
          <w:sz w:val="22"/>
          <w:szCs w:val="22"/>
        </w:rPr>
      </w:pPr>
    </w:p>
    <w:p w:rsidR="00E71B47" w:rsidRPr="006476BF" w:rsidRDefault="00E71B47" w:rsidP="006B1AD6">
      <w:pPr>
        <w:pStyle w:val="Heading8"/>
        <w:rPr>
          <w:sz w:val="22"/>
          <w:szCs w:val="22"/>
        </w:rPr>
      </w:pPr>
      <w:r w:rsidRPr="006476BF">
        <w:rPr>
          <w:sz w:val="22"/>
          <w:szCs w:val="22"/>
        </w:rPr>
        <w:t>DESCRIPTION OF TREATMENT AND DISPOSAL</w:t>
      </w:r>
    </w:p>
    <w:p w:rsidR="006476BF" w:rsidRPr="006476BF" w:rsidRDefault="006476BF" w:rsidP="006B1AD6">
      <w:pPr>
        <w:rPr>
          <w:sz w:val="22"/>
          <w:szCs w:val="22"/>
        </w:rPr>
      </w:pPr>
    </w:p>
    <w:p w:rsidR="003074F5" w:rsidRPr="003074F5" w:rsidRDefault="003074F5" w:rsidP="003074F5">
      <w:pPr>
        <w:jc w:val="both"/>
        <w:rPr>
          <w:sz w:val="22"/>
          <w:szCs w:val="22"/>
        </w:rPr>
      </w:pPr>
      <w:r w:rsidRPr="003074F5">
        <w:rPr>
          <w:sz w:val="22"/>
          <w:szCs w:val="22"/>
        </w:rPr>
        <w:t xml:space="preserve">The solids at the TWWTP are stabilized by oxidation ditches for about 15 days, and pumped to two aerobic digesters. The solids are treated for another 40 days at 20 °C (68 °F) in the first digester, then 60 days at 15 °C (59 °F) in the second unit. After which the solids are pumped to a screw press where they are dewatered from about 2% solids to around 17% solids. At this point the solids do not meet the pathogen reduction requirements for Class A or Class B standards as they come off the screw press, nor do they meet a requirement for vector attraction reduction (VAR).  Therefore, the biosolids cannot be sold or given away to the general public for lawn and garden use until they undergo further treatment. To meet Class A standards TWWTP </w:t>
      </w:r>
      <w:proofErr w:type="spellStart"/>
      <w:r w:rsidRPr="003074F5">
        <w:rPr>
          <w:sz w:val="22"/>
          <w:szCs w:val="22"/>
        </w:rPr>
        <w:t>tranfers</w:t>
      </w:r>
      <w:proofErr w:type="spellEnd"/>
      <w:r w:rsidRPr="003074F5">
        <w:rPr>
          <w:sz w:val="22"/>
          <w:szCs w:val="22"/>
        </w:rPr>
        <w:t xml:space="preserve"> the biosolids offsite for composting through the windrow method for land application. Then the compost is sold or given away to the public.</w:t>
      </w:r>
    </w:p>
    <w:p w:rsidR="003074F5" w:rsidRPr="003074F5" w:rsidRDefault="003074F5" w:rsidP="003074F5">
      <w:pPr>
        <w:rPr>
          <w:sz w:val="22"/>
          <w:szCs w:val="22"/>
        </w:rPr>
      </w:pPr>
    </w:p>
    <w:p w:rsidR="003074F5" w:rsidRPr="003074F5" w:rsidRDefault="003074F5" w:rsidP="003074F5">
      <w:pPr>
        <w:jc w:val="both"/>
        <w:rPr>
          <w:sz w:val="22"/>
          <w:szCs w:val="22"/>
        </w:rPr>
      </w:pPr>
      <w:r w:rsidRPr="003074F5">
        <w:rPr>
          <w:sz w:val="22"/>
          <w:szCs w:val="22"/>
        </w:rPr>
        <w:t>The Permittee submitted their 2017 annual biosolids report on March 3, 2018. The report states the Permittee produced 375 dry metric tons (DMT) of solids.  After the addition of wood chips and green waste, a total of 760 DMT of composted biosolids were produced and sold or given away to the public.</w:t>
      </w:r>
    </w:p>
    <w:p w:rsidR="003074F5" w:rsidRPr="003074F5" w:rsidRDefault="003074F5" w:rsidP="003074F5">
      <w:pPr>
        <w:rPr>
          <w:color w:val="FF0000"/>
          <w:sz w:val="22"/>
          <w:szCs w:val="22"/>
        </w:rPr>
      </w:pPr>
    </w:p>
    <w:p w:rsidR="003074F5" w:rsidRPr="00076B93" w:rsidRDefault="003074F5" w:rsidP="003074F5">
      <w:pPr>
        <w:rPr>
          <w:sz w:val="22"/>
          <w:szCs w:val="22"/>
        </w:rPr>
      </w:pPr>
      <w:r w:rsidRPr="003074F5">
        <w:rPr>
          <w:sz w:val="22"/>
          <w:szCs w:val="22"/>
        </w:rPr>
        <w:t>The last inspection conducted at the land application site was September 13, 2016. The inspection showed that TWWTP was in compliance with all aspects of the biosolids management program.</w:t>
      </w:r>
      <w:r w:rsidRPr="00076B93">
        <w:rPr>
          <w:sz w:val="22"/>
          <w:szCs w:val="22"/>
        </w:rPr>
        <w:t xml:space="preserve">     </w:t>
      </w:r>
    </w:p>
    <w:p w:rsidR="009E582A" w:rsidRPr="00DE7149" w:rsidRDefault="009E582A" w:rsidP="006B1AD6">
      <w:pPr>
        <w:jc w:val="both"/>
        <w:rPr>
          <w:sz w:val="22"/>
          <w:szCs w:val="22"/>
        </w:rPr>
      </w:pPr>
    </w:p>
    <w:p w:rsidR="00E71B47" w:rsidRPr="00DE7149" w:rsidRDefault="00E71B47" w:rsidP="006B1AD6">
      <w:pPr>
        <w:jc w:val="both"/>
        <w:rPr>
          <w:sz w:val="22"/>
          <w:szCs w:val="22"/>
          <w:u w:val="single"/>
        </w:rPr>
      </w:pPr>
      <w:r w:rsidRPr="00DE7149">
        <w:rPr>
          <w:b/>
          <w:bCs/>
          <w:sz w:val="22"/>
          <w:szCs w:val="22"/>
        </w:rPr>
        <w:t>SELF-MONITORING REQUIREMENTS</w:t>
      </w:r>
    </w:p>
    <w:p w:rsidR="00E71B47" w:rsidRPr="00DE7149" w:rsidRDefault="00E71B47" w:rsidP="006B1AD6">
      <w:pPr>
        <w:jc w:val="both"/>
        <w:rPr>
          <w:sz w:val="22"/>
          <w:szCs w:val="22"/>
        </w:rPr>
      </w:pPr>
      <w:r w:rsidRPr="00DE7149">
        <w:rPr>
          <w:sz w:val="22"/>
          <w:szCs w:val="22"/>
        </w:rPr>
        <w:t xml:space="preserve">Under </w:t>
      </w:r>
      <w:r w:rsidRPr="00DE7149">
        <w:rPr>
          <w:i/>
          <w:iCs/>
          <w:sz w:val="22"/>
          <w:szCs w:val="22"/>
        </w:rPr>
        <w:t>40 CFR 503.16(a</w:t>
      </w:r>
      <w:proofErr w:type="gramStart"/>
      <w:r w:rsidRPr="00DE7149">
        <w:rPr>
          <w:i/>
          <w:iCs/>
          <w:sz w:val="22"/>
          <w:szCs w:val="22"/>
        </w:rPr>
        <w:t>)(</w:t>
      </w:r>
      <w:proofErr w:type="gramEnd"/>
      <w:r w:rsidRPr="00DE7149">
        <w:rPr>
          <w:i/>
          <w:iCs/>
          <w:sz w:val="22"/>
          <w:szCs w:val="22"/>
        </w:rPr>
        <w:t>1),</w:t>
      </w:r>
      <w:r w:rsidRPr="00DE7149">
        <w:rPr>
          <w:sz w:val="22"/>
          <w:szCs w:val="22"/>
        </w:rPr>
        <w:t xml:space="preserve"> the self-monitoring requirements are based upon the amount of biosolids disposed per year and shall be monitored according to the chart below. </w:t>
      </w:r>
    </w:p>
    <w:p w:rsidR="00E71B47" w:rsidRDefault="00E71B47" w:rsidP="006B1AD6">
      <w:pPr>
        <w:widowControl/>
        <w:jc w:val="both"/>
        <w:rPr>
          <w:b/>
          <w:sz w:val="22"/>
          <w:szCs w:val="22"/>
        </w:rPr>
      </w:pPr>
    </w:p>
    <w:tbl>
      <w:tblPr>
        <w:tblW w:w="8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40"/>
        <w:gridCol w:w="2440"/>
        <w:gridCol w:w="3360"/>
      </w:tblGrid>
      <w:tr w:rsidR="006476BF" w:rsidRPr="00E22484" w:rsidTr="00F964D1">
        <w:trPr>
          <w:cantSplit/>
          <w:trHeight w:val="144"/>
          <w:jc w:val="center"/>
        </w:trPr>
        <w:tc>
          <w:tcPr>
            <w:tcW w:w="8240" w:type="dxa"/>
            <w:gridSpan w:val="3"/>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lastRenderedPageBreak/>
              <w:t>Minimum Frequency of Monitoring (40 CFR Part 503.16, 503.26. and 503.46)</w:t>
            </w:r>
          </w:p>
        </w:tc>
      </w:tr>
      <w:tr w:rsidR="006476BF" w:rsidRPr="00E22484" w:rsidTr="00F964D1">
        <w:trPr>
          <w:cantSplit/>
          <w:trHeight w:val="144"/>
          <w:jc w:val="center"/>
        </w:trPr>
        <w:tc>
          <w:tcPr>
            <w:tcW w:w="4880" w:type="dxa"/>
            <w:gridSpan w:val="2"/>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Amount of Biosolids Disposed Per Year</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Monitoring Frequency</w:t>
            </w:r>
          </w:p>
        </w:tc>
      </w:tr>
      <w:tr w:rsidR="006476BF" w:rsidRPr="00E22484" w:rsidTr="00F964D1">
        <w:trPr>
          <w:cantSplit/>
          <w:trHeight w:val="144"/>
          <w:jc w:val="center"/>
        </w:trPr>
        <w:tc>
          <w:tcPr>
            <w:tcW w:w="2440" w:type="dxa"/>
            <w:shd w:val="clear" w:color="auto" w:fill="auto"/>
            <w:noWrap/>
            <w:vAlign w:val="bottom"/>
            <w:hideMark/>
          </w:tcPr>
          <w:p w:rsidR="006476BF" w:rsidRPr="00E22484" w:rsidRDefault="006476BF" w:rsidP="006476BF">
            <w:pPr>
              <w:contextualSpacing/>
              <w:jc w:val="center"/>
              <w:rPr>
                <w:color w:val="000000"/>
                <w:sz w:val="22"/>
              </w:rPr>
            </w:pPr>
            <w:r w:rsidRPr="00E22484">
              <w:rPr>
                <w:color w:val="000000"/>
                <w:sz w:val="22"/>
              </w:rPr>
              <w:t>Dry US Tons</w:t>
            </w:r>
          </w:p>
        </w:tc>
        <w:tc>
          <w:tcPr>
            <w:tcW w:w="2440" w:type="dxa"/>
            <w:shd w:val="clear" w:color="auto" w:fill="auto"/>
            <w:noWrap/>
            <w:vAlign w:val="bottom"/>
            <w:hideMark/>
          </w:tcPr>
          <w:p w:rsidR="006476BF" w:rsidRPr="00E22484" w:rsidRDefault="006476BF" w:rsidP="006476BF">
            <w:pPr>
              <w:contextualSpacing/>
              <w:jc w:val="center"/>
              <w:rPr>
                <w:color w:val="000000"/>
                <w:sz w:val="22"/>
              </w:rPr>
            </w:pPr>
            <w:r w:rsidRPr="00E22484">
              <w:rPr>
                <w:color w:val="000000"/>
                <w:sz w:val="22"/>
              </w:rPr>
              <w:t>Dry Metric Tons</w:t>
            </w:r>
          </w:p>
        </w:tc>
        <w:tc>
          <w:tcPr>
            <w:tcW w:w="3360" w:type="dxa"/>
            <w:shd w:val="clear" w:color="auto" w:fill="auto"/>
            <w:noWrap/>
            <w:vAlign w:val="bottom"/>
            <w:hideMark/>
          </w:tcPr>
          <w:p w:rsidR="006476BF" w:rsidRPr="00E22484" w:rsidRDefault="006476BF" w:rsidP="006476BF">
            <w:pPr>
              <w:contextualSpacing/>
              <w:jc w:val="center"/>
              <w:rPr>
                <w:color w:val="000000"/>
                <w:sz w:val="22"/>
              </w:rPr>
            </w:pPr>
            <w:r w:rsidRPr="00E22484">
              <w:rPr>
                <w:color w:val="000000"/>
                <w:sz w:val="22"/>
              </w:rPr>
              <w:t>Per Year or Batch</w:t>
            </w:r>
          </w:p>
        </w:tc>
      </w:tr>
      <w:tr w:rsidR="006476BF" w:rsidRPr="00E22484" w:rsidTr="00F964D1">
        <w:trPr>
          <w:cantSplit/>
          <w:trHeight w:val="144"/>
          <w:jc w:val="center"/>
        </w:trPr>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0 to &lt; 320</w:t>
            </w:r>
          </w:p>
        </w:tc>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0 to &lt; 290</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Once Per Year or Batch</w:t>
            </w:r>
          </w:p>
        </w:tc>
      </w:tr>
      <w:tr w:rsidR="006476BF" w:rsidRPr="00E22484" w:rsidTr="00F964D1">
        <w:trPr>
          <w:cantSplit/>
          <w:trHeight w:val="144"/>
          <w:jc w:val="center"/>
        </w:trPr>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320 to &lt; 1650</w:t>
            </w:r>
          </w:p>
        </w:tc>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290 to &lt; 1,500</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Once a Quarter or Four Times</w:t>
            </w:r>
          </w:p>
        </w:tc>
      </w:tr>
      <w:tr w:rsidR="006476BF" w:rsidRPr="00E22484" w:rsidTr="00F964D1">
        <w:trPr>
          <w:cantSplit/>
          <w:trHeight w:val="144"/>
          <w:jc w:val="center"/>
        </w:trPr>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1,650 to &lt; 16,500</w:t>
            </w:r>
          </w:p>
        </w:tc>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1,500 to &lt; 15,000</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Bi-Monthly or Six Times</w:t>
            </w:r>
          </w:p>
        </w:tc>
      </w:tr>
      <w:tr w:rsidR="006476BF" w:rsidRPr="00E22484" w:rsidTr="00F964D1">
        <w:trPr>
          <w:cantSplit/>
          <w:trHeight w:val="144"/>
          <w:jc w:val="center"/>
        </w:trPr>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16,500</w:t>
            </w:r>
          </w:p>
        </w:tc>
        <w:tc>
          <w:tcPr>
            <w:tcW w:w="244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&gt;  15,000</w:t>
            </w:r>
          </w:p>
        </w:tc>
        <w:tc>
          <w:tcPr>
            <w:tcW w:w="3360" w:type="dxa"/>
            <w:shd w:val="clear" w:color="auto" w:fill="auto"/>
            <w:vAlign w:val="center"/>
            <w:hideMark/>
          </w:tcPr>
          <w:p w:rsidR="006476BF" w:rsidRPr="00E22484" w:rsidRDefault="006476BF" w:rsidP="006476BF">
            <w:pPr>
              <w:contextualSpacing/>
              <w:jc w:val="center"/>
              <w:rPr>
                <w:color w:val="000000"/>
                <w:sz w:val="22"/>
              </w:rPr>
            </w:pPr>
            <w:r w:rsidRPr="00E22484">
              <w:rPr>
                <w:color w:val="000000"/>
                <w:sz w:val="22"/>
              </w:rPr>
              <w:t>Monthly or Twelve Times</w:t>
            </w:r>
          </w:p>
        </w:tc>
      </w:tr>
    </w:tbl>
    <w:p w:rsidR="006476BF" w:rsidRDefault="006476BF" w:rsidP="00E71B47">
      <w:pPr>
        <w:widowControl/>
        <w:jc w:val="both"/>
        <w:rPr>
          <w:b/>
          <w:sz w:val="22"/>
          <w:szCs w:val="22"/>
        </w:rPr>
      </w:pPr>
    </w:p>
    <w:p w:rsidR="00E71B47" w:rsidRPr="00DE7149" w:rsidRDefault="003074F5" w:rsidP="00E71B47">
      <w:pPr>
        <w:spacing w:line="232" w:lineRule="auto"/>
        <w:jc w:val="both"/>
        <w:rPr>
          <w:sz w:val="22"/>
          <w:szCs w:val="22"/>
        </w:rPr>
      </w:pPr>
      <w:r w:rsidRPr="00E82F45">
        <w:rPr>
          <w:sz w:val="22"/>
          <w:szCs w:val="22"/>
        </w:rPr>
        <w:t xml:space="preserve">In 2017, the TWWTP disposed of 760 DMT of </w:t>
      </w:r>
      <w:proofErr w:type="gramStart"/>
      <w:r w:rsidRPr="00E82F45">
        <w:rPr>
          <w:sz w:val="22"/>
          <w:szCs w:val="22"/>
        </w:rPr>
        <w:t>biosolids,</w:t>
      </w:r>
      <w:proofErr w:type="gramEnd"/>
      <w:r w:rsidRPr="00E82F45">
        <w:rPr>
          <w:sz w:val="22"/>
          <w:szCs w:val="22"/>
        </w:rPr>
        <w:t xml:space="preserve"> therefore they need to sample at least four times a year</w:t>
      </w:r>
      <w:r w:rsidR="00E71B47" w:rsidRPr="00E82F45">
        <w:rPr>
          <w:sz w:val="22"/>
          <w:szCs w:val="22"/>
        </w:rPr>
        <w:t>.</w:t>
      </w:r>
      <w:r w:rsidR="00E71B47" w:rsidRPr="00DE7149">
        <w:rPr>
          <w:sz w:val="22"/>
          <w:szCs w:val="22"/>
        </w:rPr>
        <w:t xml:space="preserve">  </w:t>
      </w:r>
    </w:p>
    <w:p w:rsidR="00E71B47" w:rsidRPr="00DE7149" w:rsidRDefault="00E71B47" w:rsidP="00E71B47">
      <w:pPr>
        <w:spacing w:line="232" w:lineRule="auto"/>
        <w:jc w:val="both"/>
        <w:rPr>
          <w:sz w:val="22"/>
          <w:szCs w:val="22"/>
        </w:rPr>
      </w:pPr>
    </w:p>
    <w:p w:rsidR="00E71B47" w:rsidRPr="00DE7149" w:rsidRDefault="00E71B47" w:rsidP="00E71B47">
      <w:pPr>
        <w:spacing w:line="232" w:lineRule="auto"/>
        <w:jc w:val="both"/>
        <w:rPr>
          <w:sz w:val="22"/>
          <w:szCs w:val="22"/>
        </w:rPr>
      </w:pPr>
      <w:r w:rsidRPr="00DE7149">
        <w:rPr>
          <w:sz w:val="22"/>
          <w:szCs w:val="22"/>
          <w:u w:val="single"/>
        </w:rPr>
        <w:t>Landfill Monitoring</w:t>
      </w:r>
      <w:r w:rsidRPr="00DE7149">
        <w:rPr>
          <w:sz w:val="22"/>
          <w:szCs w:val="22"/>
        </w:rPr>
        <w:t xml:space="preserve"> </w:t>
      </w:r>
    </w:p>
    <w:p w:rsidR="00E71B47" w:rsidRPr="00807E2A" w:rsidRDefault="00E71B47" w:rsidP="00E71B47">
      <w:pPr>
        <w:tabs>
          <w:tab w:val="left" w:pos="-1440"/>
        </w:tabs>
        <w:jc w:val="both"/>
        <w:rPr>
          <w:i/>
          <w:iCs/>
          <w:sz w:val="22"/>
          <w:szCs w:val="22"/>
        </w:rPr>
      </w:pPr>
      <w:r w:rsidRPr="006476BF">
        <w:rPr>
          <w:sz w:val="22"/>
          <w:szCs w:val="22"/>
        </w:rPr>
        <w:t xml:space="preserve">Under </w:t>
      </w:r>
      <w:r w:rsidRPr="006476BF">
        <w:rPr>
          <w:i/>
          <w:iCs/>
          <w:sz w:val="22"/>
          <w:szCs w:val="22"/>
        </w:rPr>
        <w:t>40 CFR 258,</w:t>
      </w:r>
      <w:r w:rsidRPr="006476BF">
        <w:rPr>
          <w:sz w:val="22"/>
          <w:szCs w:val="22"/>
        </w:rPr>
        <w:t xml:space="preserve"> the landfill monitoring requirements include a paint filter test.  If the biosolids do not pass a paint filter test, the biosolids cannot be disposed in the sanitary landfill </w:t>
      </w:r>
      <w:r w:rsidRPr="00807E2A">
        <w:rPr>
          <w:i/>
          <w:iCs/>
          <w:sz w:val="22"/>
          <w:szCs w:val="22"/>
        </w:rPr>
        <w:t>(40 CFR 258.28(c</w:t>
      </w:r>
      <w:proofErr w:type="gramStart"/>
      <w:r w:rsidRPr="00807E2A">
        <w:rPr>
          <w:i/>
          <w:iCs/>
          <w:sz w:val="22"/>
          <w:szCs w:val="22"/>
        </w:rPr>
        <w:t>)(</w:t>
      </w:r>
      <w:proofErr w:type="gramEnd"/>
      <w:r w:rsidRPr="00807E2A">
        <w:rPr>
          <w:i/>
          <w:iCs/>
          <w:sz w:val="22"/>
          <w:szCs w:val="22"/>
        </w:rPr>
        <w:t xml:space="preserve">1). </w:t>
      </w:r>
    </w:p>
    <w:p w:rsidR="00E71B47" w:rsidRPr="00DE7149" w:rsidRDefault="00E71B47" w:rsidP="00E71B47">
      <w:pPr>
        <w:spacing w:line="232" w:lineRule="auto"/>
        <w:jc w:val="both"/>
        <w:rPr>
          <w:sz w:val="22"/>
          <w:szCs w:val="22"/>
        </w:rPr>
      </w:pPr>
      <w:r w:rsidRPr="00DE7149">
        <w:rPr>
          <w:sz w:val="22"/>
          <w:szCs w:val="22"/>
        </w:rPr>
        <w:t xml:space="preserve">  </w:t>
      </w:r>
    </w:p>
    <w:p w:rsidR="00807E2A" w:rsidRPr="00807E2A" w:rsidRDefault="00807E2A" w:rsidP="00807E2A">
      <w:pPr>
        <w:widowControl/>
        <w:jc w:val="both"/>
        <w:rPr>
          <w:b/>
          <w:sz w:val="22"/>
          <w:szCs w:val="22"/>
        </w:rPr>
      </w:pPr>
      <w:r w:rsidRPr="00807E2A">
        <w:rPr>
          <w:b/>
          <w:sz w:val="22"/>
          <w:szCs w:val="22"/>
        </w:rPr>
        <w:t xml:space="preserve">BIOSOLIDS LIMITATIONS </w:t>
      </w:r>
    </w:p>
    <w:p w:rsidR="00807E2A" w:rsidRPr="00807E2A" w:rsidRDefault="00807E2A" w:rsidP="00807E2A">
      <w:pPr>
        <w:rPr>
          <w:sz w:val="22"/>
          <w:szCs w:val="22"/>
          <w:u w:val="single"/>
        </w:rPr>
      </w:pPr>
    </w:p>
    <w:p w:rsidR="00807E2A" w:rsidRPr="00807E2A" w:rsidRDefault="00807E2A" w:rsidP="00807E2A">
      <w:pPr>
        <w:rPr>
          <w:sz w:val="22"/>
          <w:szCs w:val="22"/>
        </w:rPr>
      </w:pPr>
      <w:r w:rsidRPr="00807E2A">
        <w:rPr>
          <w:sz w:val="22"/>
          <w:szCs w:val="22"/>
          <w:u w:val="single"/>
        </w:rPr>
        <w:t>Heavy Metals</w:t>
      </w:r>
    </w:p>
    <w:p w:rsidR="00807E2A" w:rsidRPr="00807E2A" w:rsidRDefault="00807E2A" w:rsidP="00807E2A">
      <w:pPr>
        <w:tabs>
          <w:tab w:val="left" w:pos="-1440"/>
        </w:tabs>
        <w:ind w:left="720" w:hanging="720"/>
        <w:rPr>
          <w:sz w:val="22"/>
          <w:szCs w:val="22"/>
        </w:rPr>
      </w:pPr>
    </w:p>
    <w:p w:rsidR="00807E2A" w:rsidRPr="00807E2A" w:rsidRDefault="00807E2A" w:rsidP="00807E2A">
      <w:pPr>
        <w:tabs>
          <w:tab w:val="left" w:pos="-1440"/>
        </w:tabs>
        <w:ind w:left="720" w:hanging="720"/>
        <w:rPr>
          <w:bCs/>
          <w:color w:val="000000"/>
          <w:sz w:val="22"/>
          <w:szCs w:val="22"/>
          <w:u w:val="single"/>
        </w:rPr>
      </w:pPr>
      <w:r w:rsidRPr="00807E2A">
        <w:rPr>
          <w:bCs/>
          <w:color w:val="000000"/>
          <w:sz w:val="22"/>
          <w:szCs w:val="22"/>
          <w:u w:val="single"/>
        </w:rPr>
        <w:t xml:space="preserve">Class </w:t>
      </w:r>
      <w:proofErr w:type="gramStart"/>
      <w:r w:rsidRPr="00807E2A">
        <w:rPr>
          <w:bCs/>
          <w:color w:val="000000"/>
          <w:sz w:val="22"/>
          <w:szCs w:val="22"/>
          <w:u w:val="single"/>
        </w:rPr>
        <w:t>A</w:t>
      </w:r>
      <w:proofErr w:type="gramEnd"/>
      <w:r w:rsidRPr="00807E2A">
        <w:rPr>
          <w:bCs/>
          <w:color w:val="000000"/>
          <w:sz w:val="22"/>
          <w:szCs w:val="22"/>
          <w:u w:val="single"/>
        </w:rPr>
        <w:t xml:space="preserve"> Biosolids for Home Lawn and Garden Use</w:t>
      </w:r>
    </w:p>
    <w:p w:rsidR="00807E2A" w:rsidRPr="00807E2A" w:rsidRDefault="00807E2A" w:rsidP="00807E2A">
      <w:pPr>
        <w:tabs>
          <w:tab w:val="left" w:pos="-1440"/>
        </w:tabs>
        <w:rPr>
          <w:bCs/>
          <w:color w:val="000000"/>
          <w:sz w:val="22"/>
          <w:szCs w:val="22"/>
        </w:rPr>
      </w:pPr>
      <w:r w:rsidRPr="00807E2A">
        <w:rPr>
          <w:bCs/>
          <w:color w:val="000000"/>
          <w:sz w:val="22"/>
          <w:szCs w:val="22"/>
        </w:rPr>
        <w:t xml:space="preserve">The intent of the heavy metals regulations of </w:t>
      </w:r>
      <w:r w:rsidRPr="00770A3B">
        <w:rPr>
          <w:bCs/>
          <w:color w:val="000000"/>
          <w:sz w:val="22"/>
          <w:szCs w:val="22"/>
        </w:rPr>
        <w:t>Table 3,</w:t>
      </w:r>
      <w:r w:rsidRPr="00807E2A">
        <w:rPr>
          <w:bCs/>
          <w:color w:val="000000"/>
          <w:sz w:val="22"/>
          <w:szCs w:val="22"/>
        </w:rPr>
        <w:t xml:space="preserve"> </w:t>
      </w:r>
      <w:r w:rsidRPr="00770A3B">
        <w:rPr>
          <w:bCs/>
          <w:i/>
          <w:color w:val="000000"/>
          <w:sz w:val="22"/>
          <w:szCs w:val="22"/>
        </w:rPr>
        <w:t>40 CFR 503.13</w:t>
      </w:r>
      <w:r w:rsidRPr="00807E2A">
        <w:rPr>
          <w:bCs/>
          <w:color w:val="000000"/>
          <w:sz w:val="22"/>
          <w:szCs w:val="22"/>
        </w:rPr>
        <w:t xml:space="preserve"> is to ensure the heavy metals do not build up in the soil in home lawn and gardens to the point where the heavy metals become phytotoxic to plants. The permittee will be required to produce an information sheet (see </w:t>
      </w:r>
      <w:r w:rsidRPr="00770A3B">
        <w:rPr>
          <w:bCs/>
          <w:i/>
          <w:color w:val="000000"/>
          <w:sz w:val="22"/>
          <w:szCs w:val="22"/>
        </w:rPr>
        <w:t>Part III. C</w:t>
      </w:r>
      <w:r w:rsidRPr="00807E2A">
        <w:rPr>
          <w:bCs/>
          <w:color w:val="000000"/>
          <w:sz w:val="22"/>
          <w:szCs w:val="22"/>
        </w:rPr>
        <w:t>. of the permit) to made available to all people who are receiving and land applying Class A  biosolids to their lawns and gardens. If the instructions of the information sheet are followed to any reasonable degree, the Class A biosolids will be able to be land applied year after year, to the same lawns and garden plots without any deleterious effects to the environment. The information sheet must be provided to the public, because the permittee is not required, nor able to track the quantity of Class A biosolids that are land applied to home lawns and gardens.</w:t>
      </w:r>
    </w:p>
    <w:p w:rsidR="00807E2A" w:rsidRPr="00807E2A" w:rsidRDefault="00807E2A" w:rsidP="00807E2A">
      <w:pPr>
        <w:tabs>
          <w:tab w:val="left" w:pos="-1440"/>
        </w:tabs>
        <w:ind w:left="720" w:hanging="720"/>
        <w:rPr>
          <w:bCs/>
          <w:color w:val="000000"/>
          <w:sz w:val="22"/>
          <w:szCs w:val="22"/>
        </w:rPr>
      </w:pPr>
    </w:p>
    <w:p w:rsidR="00807E2A" w:rsidRPr="00807E2A" w:rsidRDefault="00807E2A" w:rsidP="00807E2A">
      <w:pPr>
        <w:tabs>
          <w:tab w:val="left" w:pos="-1440"/>
        </w:tabs>
        <w:ind w:left="720" w:hanging="720"/>
        <w:rPr>
          <w:bCs/>
          <w:color w:val="000000"/>
          <w:sz w:val="22"/>
          <w:szCs w:val="22"/>
          <w:u w:val="single"/>
        </w:rPr>
      </w:pPr>
      <w:r w:rsidRPr="00807E2A">
        <w:rPr>
          <w:bCs/>
          <w:color w:val="000000"/>
          <w:sz w:val="22"/>
          <w:szCs w:val="22"/>
          <w:u w:val="single"/>
        </w:rPr>
        <w:t xml:space="preserve">Class </w:t>
      </w:r>
      <w:proofErr w:type="gramStart"/>
      <w:r w:rsidRPr="00807E2A">
        <w:rPr>
          <w:bCs/>
          <w:color w:val="000000"/>
          <w:sz w:val="22"/>
          <w:szCs w:val="22"/>
          <w:u w:val="single"/>
        </w:rPr>
        <w:t>A</w:t>
      </w:r>
      <w:proofErr w:type="gramEnd"/>
      <w:r w:rsidRPr="00807E2A">
        <w:rPr>
          <w:bCs/>
          <w:color w:val="000000"/>
          <w:sz w:val="22"/>
          <w:szCs w:val="22"/>
          <w:u w:val="single"/>
        </w:rPr>
        <w:t xml:space="preserve"> Requirements With Regards to Heavy Metals </w:t>
      </w:r>
    </w:p>
    <w:p w:rsidR="00807E2A" w:rsidRPr="00807E2A" w:rsidRDefault="00807E2A" w:rsidP="00807E2A">
      <w:pPr>
        <w:tabs>
          <w:tab w:val="left" w:pos="-1440"/>
        </w:tabs>
        <w:rPr>
          <w:bCs/>
          <w:color w:val="000000"/>
          <w:sz w:val="22"/>
          <w:szCs w:val="22"/>
        </w:rPr>
      </w:pPr>
      <w:r w:rsidRPr="00807E2A">
        <w:rPr>
          <w:bCs/>
          <w:color w:val="000000"/>
          <w:sz w:val="22"/>
          <w:szCs w:val="22"/>
        </w:rPr>
        <w:t>If the biosolids are to be applied to a lawn or home garden, the biosolids shall not exceed the maximum heavy metals in Table 1 and the monthly average pollutant concentrations in Table 3 (see Table 1 and Table 3 below). If the biosolids do not meet these requirements, the biosolids cannot be sold or given away for applications to home lawns and gardens.</w:t>
      </w:r>
    </w:p>
    <w:p w:rsidR="00807E2A" w:rsidRPr="00807E2A" w:rsidRDefault="00807E2A" w:rsidP="00807E2A">
      <w:pPr>
        <w:tabs>
          <w:tab w:val="left" w:pos="-1440"/>
        </w:tabs>
        <w:rPr>
          <w:bCs/>
          <w:color w:val="000000"/>
          <w:sz w:val="22"/>
          <w:szCs w:val="22"/>
        </w:rPr>
      </w:pPr>
    </w:p>
    <w:p w:rsidR="00807E2A" w:rsidRPr="00807E2A" w:rsidRDefault="00807E2A" w:rsidP="00807E2A">
      <w:pPr>
        <w:tabs>
          <w:tab w:val="left" w:pos="-1440"/>
        </w:tabs>
        <w:rPr>
          <w:bCs/>
          <w:color w:val="000000"/>
          <w:sz w:val="22"/>
          <w:szCs w:val="22"/>
          <w:u w:val="single"/>
        </w:rPr>
      </w:pPr>
      <w:r w:rsidRPr="00807E2A">
        <w:rPr>
          <w:bCs/>
          <w:color w:val="000000"/>
          <w:sz w:val="22"/>
          <w:szCs w:val="22"/>
          <w:u w:val="single"/>
        </w:rPr>
        <w:t xml:space="preserve">Class B Requirements for Agriculture and Reclamation Sites </w:t>
      </w:r>
    </w:p>
    <w:p w:rsidR="00807E2A" w:rsidRPr="00807E2A" w:rsidRDefault="00807E2A" w:rsidP="00807E2A">
      <w:pPr>
        <w:tabs>
          <w:tab w:val="left" w:pos="-1440"/>
        </w:tabs>
        <w:rPr>
          <w:bCs/>
          <w:color w:val="000000"/>
          <w:sz w:val="22"/>
          <w:szCs w:val="22"/>
        </w:rPr>
      </w:pPr>
      <w:r w:rsidRPr="00807E2A">
        <w:rPr>
          <w:bCs/>
          <w:color w:val="000000"/>
          <w:sz w:val="22"/>
          <w:szCs w:val="22"/>
        </w:rPr>
        <w:t xml:space="preserve">The intent of the heavy metals regulations of Tables 1, 2 and 3, of </w:t>
      </w:r>
      <w:r w:rsidRPr="00770A3B">
        <w:rPr>
          <w:bCs/>
          <w:i/>
          <w:color w:val="000000"/>
          <w:sz w:val="22"/>
          <w:szCs w:val="22"/>
        </w:rPr>
        <w:t>40 CFR 503.13</w:t>
      </w:r>
      <w:r w:rsidRPr="00807E2A">
        <w:rPr>
          <w:bCs/>
          <w:color w:val="000000"/>
          <w:sz w:val="22"/>
          <w:szCs w:val="22"/>
        </w:rPr>
        <w:t xml:space="preserve"> is to ensure that heavy metals do not build up in the soil at farms, forest land, and land reclamation sites to the point where the heavy metals become phytotoxic to plants. The permittee will be required to produce an information sheet (see </w:t>
      </w:r>
      <w:r w:rsidRPr="00770A3B">
        <w:rPr>
          <w:bCs/>
          <w:i/>
          <w:color w:val="000000"/>
          <w:sz w:val="22"/>
          <w:szCs w:val="22"/>
        </w:rPr>
        <w:t>Part III. C</w:t>
      </w:r>
      <w:r w:rsidRPr="00807E2A">
        <w:rPr>
          <w:bCs/>
          <w:color w:val="000000"/>
          <w:sz w:val="22"/>
          <w:szCs w:val="22"/>
        </w:rPr>
        <w:t xml:space="preserve">. of the permit) to be handed out to all people who are receiving and land applying Class B biosolids to farms, ranches, and land reclamation sites (if biosolids are only applied to land owned by the permittee, the information sheet requirements are waived).  If the biosolids are land applied according to the regulations of </w:t>
      </w:r>
      <w:r w:rsidRPr="00770A3B">
        <w:rPr>
          <w:bCs/>
          <w:i/>
          <w:color w:val="000000"/>
          <w:sz w:val="22"/>
          <w:szCs w:val="22"/>
        </w:rPr>
        <w:t>40 CFR 503.13</w:t>
      </w:r>
      <w:r w:rsidRPr="00807E2A">
        <w:rPr>
          <w:bCs/>
          <w:color w:val="000000"/>
          <w:sz w:val="22"/>
          <w:szCs w:val="22"/>
        </w:rPr>
        <w:t xml:space="preserve">, to any reasonable degree, the Class B biosolids will be able to be land applied year after year, to the same farms, ranches, and land reclamation sites without any deleterious effects to the environment.   </w:t>
      </w:r>
    </w:p>
    <w:p w:rsidR="00807E2A" w:rsidRPr="00807E2A" w:rsidRDefault="00807E2A" w:rsidP="00807E2A">
      <w:pPr>
        <w:tabs>
          <w:tab w:val="left" w:pos="-1440"/>
        </w:tabs>
        <w:rPr>
          <w:bCs/>
          <w:color w:val="000000"/>
          <w:sz w:val="22"/>
          <w:szCs w:val="22"/>
        </w:rPr>
      </w:pPr>
    </w:p>
    <w:p w:rsidR="00807E2A" w:rsidRPr="00807E2A" w:rsidRDefault="00807E2A" w:rsidP="00807E2A">
      <w:pPr>
        <w:tabs>
          <w:tab w:val="left" w:pos="-1440"/>
        </w:tabs>
        <w:rPr>
          <w:bCs/>
          <w:color w:val="000000"/>
          <w:sz w:val="22"/>
          <w:szCs w:val="22"/>
          <w:u w:val="single"/>
        </w:rPr>
      </w:pPr>
      <w:r w:rsidRPr="00807E2A">
        <w:rPr>
          <w:bCs/>
          <w:color w:val="000000"/>
          <w:sz w:val="22"/>
          <w:szCs w:val="22"/>
          <w:u w:val="single"/>
        </w:rPr>
        <w:t xml:space="preserve">Class B Requirements With Regards to Heavy Metals </w:t>
      </w:r>
    </w:p>
    <w:p w:rsidR="00807E2A" w:rsidRPr="00807E2A" w:rsidRDefault="00807E2A" w:rsidP="00807E2A">
      <w:pPr>
        <w:rPr>
          <w:color w:val="000000"/>
          <w:sz w:val="22"/>
          <w:szCs w:val="22"/>
        </w:rPr>
      </w:pPr>
      <w:r w:rsidRPr="00807E2A">
        <w:rPr>
          <w:bCs/>
          <w:color w:val="000000"/>
          <w:sz w:val="22"/>
          <w:szCs w:val="22"/>
        </w:rPr>
        <w:t xml:space="preserve">If the biosolids are to be land applied to agricultural land, forest land, a public contact site or a </w:t>
      </w:r>
      <w:r w:rsidRPr="00807E2A">
        <w:rPr>
          <w:bCs/>
          <w:color w:val="000000"/>
          <w:sz w:val="22"/>
          <w:szCs w:val="22"/>
        </w:rPr>
        <w:lastRenderedPageBreak/>
        <w:t>reclamation site it must meet at all times:</w:t>
      </w:r>
    </w:p>
    <w:p w:rsidR="00807E2A" w:rsidRPr="00807E2A" w:rsidRDefault="00807E2A" w:rsidP="00807E2A">
      <w:pPr>
        <w:rPr>
          <w:color w:val="000000"/>
          <w:sz w:val="22"/>
          <w:szCs w:val="22"/>
        </w:rPr>
      </w:pPr>
    </w:p>
    <w:p w:rsidR="00807E2A" w:rsidRPr="00807E2A" w:rsidRDefault="00807E2A" w:rsidP="00807E2A">
      <w:pPr>
        <w:ind w:left="720" w:right="1440"/>
        <w:rPr>
          <w:color w:val="000000"/>
          <w:sz w:val="22"/>
          <w:szCs w:val="22"/>
        </w:rPr>
      </w:pPr>
      <w:r w:rsidRPr="00807E2A">
        <w:rPr>
          <w:color w:val="000000"/>
          <w:sz w:val="22"/>
          <w:szCs w:val="22"/>
        </w:rPr>
        <w:t xml:space="preserve">The maximum heavy metals listed in </w:t>
      </w:r>
      <w:r w:rsidR="00524CDE" w:rsidRPr="00524CDE">
        <w:rPr>
          <w:i/>
          <w:color w:val="000000"/>
          <w:sz w:val="22"/>
          <w:szCs w:val="22"/>
        </w:rPr>
        <w:t>40 CFR Part 503.13(b) Table 1</w:t>
      </w:r>
      <w:r w:rsidRPr="00807E2A">
        <w:rPr>
          <w:color w:val="000000"/>
          <w:sz w:val="22"/>
          <w:szCs w:val="22"/>
        </w:rPr>
        <w:t xml:space="preserve"> and the heavy metals loading rates in</w:t>
      </w:r>
      <w:r w:rsidRPr="00524CDE">
        <w:rPr>
          <w:i/>
          <w:color w:val="000000"/>
          <w:sz w:val="22"/>
          <w:szCs w:val="22"/>
        </w:rPr>
        <w:t xml:space="preserve"> </w:t>
      </w:r>
      <w:r w:rsidR="00524CDE" w:rsidRPr="00524CDE">
        <w:rPr>
          <w:i/>
          <w:color w:val="000000"/>
          <w:sz w:val="22"/>
          <w:szCs w:val="22"/>
        </w:rPr>
        <w:t>40 CFR Part 503.13(b) Table 2</w:t>
      </w:r>
      <w:r w:rsidRPr="00807E2A">
        <w:rPr>
          <w:color w:val="000000"/>
          <w:sz w:val="22"/>
          <w:szCs w:val="22"/>
        </w:rPr>
        <w:t xml:space="preserve">; or </w:t>
      </w:r>
    </w:p>
    <w:p w:rsidR="00807E2A" w:rsidRPr="00807E2A" w:rsidRDefault="00807E2A" w:rsidP="00807E2A">
      <w:pPr>
        <w:ind w:left="720" w:right="1440"/>
        <w:rPr>
          <w:color w:val="000000"/>
          <w:sz w:val="22"/>
          <w:szCs w:val="22"/>
        </w:rPr>
      </w:pPr>
    </w:p>
    <w:p w:rsidR="00807E2A" w:rsidRPr="00807E2A" w:rsidRDefault="00807E2A" w:rsidP="00807E2A">
      <w:pPr>
        <w:ind w:left="720" w:right="1440"/>
        <w:rPr>
          <w:color w:val="000000"/>
          <w:sz w:val="22"/>
          <w:szCs w:val="22"/>
        </w:rPr>
      </w:pPr>
      <w:r w:rsidRPr="00807E2A">
        <w:rPr>
          <w:color w:val="000000"/>
          <w:sz w:val="22"/>
          <w:szCs w:val="22"/>
        </w:rPr>
        <w:t xml:space="preserve">The maximum heavy metals in </w:t>
      </w:r>
      <w:r w:rsidR="00524CDE" w:rsidRPr="00524CDE">
        <w:rPr>
          <w:i/>
          <w:color w:val="000000"/>
          <w:sz w:val="22"/>
          <w:szCs w:val="22"/>
        </w:rPr>
        <w:t xml:space="preserve">40 CFR Part 503.13(b) Table </w:t>
      </w:r>
      <w:r w:rsidRPr="00524CDE">
        <w:rPr>
          <w:i/>
          <w:color w:val="000000"/>
          <w:sz w:val="22"/>
          <w:szCs w:val="22"/>
        </w:rPr>
        <w:t xml:space="preserve">1 </w:t>
      </w:r>
      <w:r w:rsidRPr="00807E2A">
        <w:rPr>
          <w:color w:val="000000"/>
          <w:sz w:val="22"/>
          <w:szCs w:val="22"/>
        </w:rPr>
        <w:t xml:space="preserve">and the monthly heavy metals concentrations in </w:t>
      </w:r>
      <w:r w:rsidR="00524CDE" w:rsidRPr="00524CDE">
        <w:rPr>
          <w:i/>
          <w:color w:val="000000"/>
          <w:sz w:val="22"/>
          <w:szCs w:val="22"/>
        </w:rPr>
        <w:t xml:space="preserve">40 CFR Part 503.13(b) Table </w:t>
      </w:r>
      <w:r w:rsidRPr="00524CDE">
        <w:rPr>
          <w:i/>
          <w:color w:val="000000"/>
          <w:sz w:val="22"/>
          <w:szCs w:val="22"/>
        </w:rPr>
        <w:t>3</w:t>
      </w:r>
      <w:r w:rsidRPr="00807E2A">
        <w:rPr>
          <w:color w:val="000000"/>
          <w:sz w:val="22"/>
          <w:szCs w:val="22"/>
        </w:rPr>
        <w:t>.</w:t>
      </w:r>
    </w:p>
    <w:p w:rsidR="00807E2A" w:rsidRPr="00807E2A" w:rsidRDefault="00807E2A" w:rsidP="00807E2A">
      <w:pPr>
        <w:rPr>
          <w:color w:val="000000"/>
          <w:sz w:val="22"/>
          <w:szCs w:val="22"/>
        </w:rPr>
      </w:pPr>
    </w:p>
    <w:p w:rsidR="00807E2A" w:rsidRDefault="00807E2A" w:rsidP="00807E2A">
      <w:pPr>
        <w:ind w:left="90"/>
        <w:rPr>
          <w:color w:val="000000"/>
          <w:sz w:val="22"/>
          <w:szCs w:val="22"/>
        </w:rPr>
      </w:pPr>
      <w:r w:rsidRPr="00807E2A">
        <w:rPr>
          <w:color w:val="000000"/>
          <w:sz w:val="22"/>
          <w:szCs w:val="22"/>
        </w:rPr>
        <w:t>Tables 1, 2, and 3 of Heavy Metal Limitations</w:t>
      </w:r>
    </w:p>
    <w:p w:rsidR="00871D7B" w:rsidRDefault="00871D7B" w:rsidP="00807E2A">
      <w:pPr>
        <w:ind w:left="90"/>
        <w:rPr>
          <w:color w:val="000000"/>
          <w:sz w:val="22"/>
          <w:szCs w:val="22"/>
        </w:rPr>
      </w:pPr>
    </w:p>
    <w:tbl>
      <w:tblPr>
        <w:tblW w:w="81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68"/>
        <w:gridCol w:w="1710"/>
        <w:gridCol w:w="1440"/>
        <w:gridCol w:w="1530"/>
        <w:gridCol w:w="1350"/>
      </w:tblGrid>
      <w:tr w:rsidR="00770A3B" w:rsidRPr="00F964D1" w:rsidTr="00F964D1">
        <w:trPr>
          <w:cantSplit/>
          <w:trHeight w:val="144"/>
          <w:jc w:val="center"/>
        </w:trPr>
        <w:tc>
          <w:tcPr>
            <w:tcW w:w="8198" w:type="dxa"/>
            <w:gridSpan w:val="5"/>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Pollutant Limits, (40 CFR Part 503.13(b)) Dry Mass Basis</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Heavy Metals</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Table 1</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Table 2</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Table 3</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Table 4</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 </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Ceiling Conc. Limits, (mg/kg)</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CPLR</w:t>
            </w:r>
            <w:r w:rsidRPr="00706EA9">
              <w:rPr>
                <w:rStyle w:val="FootnoteReference"/>
                <w:color w:val="000000"/>
                <w:sz w:val="22"/>
                <w:szCs w:val="22"/>
              </w:rPr>
              <w:footnoteReference w:id="1"/>
            </w:r>
            <w:r w:rsidRPr="00706EA9">
              <w:rPr>
                <w:color w:val="000000"/>
                <w:sz w:val="22"/>
                <w:szCs w:val="22"/>
              </w:rPr>
              <w:t>, (mg/ha)</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Pollutant Conc. Limits, (mg/kg)</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APLR</w:t>
            </w:r>
            <w:r w:rsidRPr="00706EA9">
              <w:rPr>
                <w:rStyle w:val="FootnoteReference"/>
                <w:color w:val="000000"/>
                <w:sz w:val="22"/>
                <w:szCs w:val="22"/>
              </w:rPr>
              <w:footnoteReference w:id="2"/>
            </w:r>
            <w:r w:rsidRPr="00706EA9">
              <w:rPr>
                <w:color w:val="000000"/>
                <w:sz w:val="22"/>
                <w:szCs w:val="22"/>
              </w:rPr>
              <w:t>, (mg/ha-</w:t>
            </w:r>
            <w:proofErr w:type="spellStart"/>
            <w:r w:rsidRPr="00706EA9">
              <w:rPr>
                <w:color w:val="000000"/>
                <w:sz w:val="22"/>
                <w:szCs w:val="22"/>
              </w:rPr>
              <w:t>yr</w:t>
            </w:r>
            <w:proofErr w:type="spellEnd"/>
            <w:r w:rsidRPr="00706EA9">
              <w:rPr>
                <w:color w:val="000000"/>
                <w:sz w:val="22"/>
                <w:szCs w:val="22"/>
              </w:rPr>
              <w:t>)</w:t>
            </w:r>
          </w:p>
          <w:p w:rsidR="00770A3B" w:rsidRPr="00706EA9" w:rsidRDefault="00770A3B" w:rsidP="00F964D1">
            <w:pPr>
              <w:contextualSpacing/>
              <w:jc w:val="center"/>
              <w:rPr>
                <w:color w:val="000000"/>
                <w:sz w:val="22"/>
                <w:szCs w:val="22"/>
              </w:rPr>
            </w:pP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Arsenic</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75</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41</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41</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41</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Cadmium</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85</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39</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39</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39</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Copper</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4300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1500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1500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1500</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Lead</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840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300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300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300</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Mercury</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57</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17</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17</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17</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Molybdenum</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75</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N/A</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N/A</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N/A</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Nickel</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420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420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420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420</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Selenium</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100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100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100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100</w:t>
            </w:r>
          </w:p>
        </w:tc>
      </w:tr>
      <w:tr w:rsidR="00770A3B" w:rsidRPr="00F964D1" w:rsidTr="00F964D1">
        <w:trPr>
          <w:cantSplit/>
          <w:trHeight w:val="144"/>
          <w:jc w:val="center"/>
        </w:trPr>
        <w:tc>
          <w:tcPr>
            <w:tcW w:w="2168" w:type="dxa"/>
            <w:shd w:val="clear" w:color="auto" w:fill="auto"/>
            <w:vAlign w:val="center"/>
            <w:hideMark/>
          </w:tcPr>
          <w:p w:rsidR="00770A3B" w:rsidRPr="00706EA9" w:rsidRDefault="00770A3B" w:rsidP="00F964D1">
            <w:pPr>
              <w:contextualSpacing/>
              <w:rPr>
                <w:color w:val="000000"/>
                <w:sz w:val="22"/>
                <w:szCs w:val="22"/>
              </w:rPr>
            </w:pPr>
            <w:r w:rsidRPr="00706EA9">
              <w:rPr>
                <w:color w:val="000000"/>
                <w:sz w:val="22"/>
                <w:szCs w:val="22"/>
              </w:rPr>
              <w:t>Total Zinc</w:t>
            </w:r>
          </w:p>
        </w:tc>
        <w:tc>
          <w:tcPr>
            <w:tcW w:w="171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7500</w:t>
            </w:r>
          </w:p>
        </w:tc>
        <w:tc>
          <w:tcPr>
            <w:tcW w:w="144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2800</w:t>
            </w:r>
          </w:p>
        </w:tc>
        <w:tc>
          <w:tcPr>
            <w:tcW w:w="153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2800</w:t>
            </w:r>
          </w:p>
        </w:tc>
        <w:tc>
          <w:tcPr>
            <w:tcW w:w="1350" w:type="dxa"/>
            <w:shd w:val="clear" w:color="auto" w:fill="auto"/>
            <w:vAlign w:val="center"/>
            <w:hideMark/>
          </w:tcPr>
          <w:p w:rsidR="00770A3B" w:rsidRPr="00706EA9" w:rsidRDefault="00770A3B" w:rsidP="00F964D1">
            <w:pPr>
              <w:contextualSpacing/>
              <w:jc w:val="center"/>
              <w:rPr>
                <w:color w:val="000000"/>
                <w:sz w:val="22"/>
                <w:szCs w:val="22"/>
              </w:rPr>
            </w:pPr>
            <w:r w:rsidRPr="00706EA9">
              <w:rPr>
                <w:color w:val="000000"/>
                <w:sz w:val="22"/>
                <w:szCs w:val="22"/>
              </w:rPr>
              <w:t>2800</w:t>
            </w:r>
          </w:p>
        </w:tc>
      </w:tr>
    </w:tbl>
    <w:p w:rsidR="00770A3B" w:rsidRDefault="00770A3B" w:rsidP="00807E2A">
      <w:pPr>
        <w:ind w:left="90"/>
        <w:rPr>
          <w:color w:val="000000"/>
          <w:sz w:val="22"/>
          <w:szCs w:val="22"/>
        </w:rPr>
      </w:pPr>
    </w:p>
    <w:p w:rsidR="00807E2A" w:rsidRPr="00807E2A" w:rsidRDefault="00807E2A" w:rsidP="00807E2A">
      <w:pPr>
        <w:rPr>
          <w:color w:val="000000"/>
          <w:sz w:val="22"/>
          <w:szCs w:val="22"/>
        </w:rPr>
      </w:pPr>
      <w:r w:rsidRPr="00807E2A">
        <w:rPr>
          <w:color w:val="000000"/>
          <w:sz w:val="22"/>
          <w:szCs w:val="22"/>
        </w:rPr>
        <w:tab/>
      </w:r>
      <w:r w:rsidR="00871D7B" w:rsidRPr="00807E2A">
        <w:rPr>
          <w:sz w:val="22"/>
          <w:szCs w:val="22"/>
        </w:rPr>
        <w:t xml:space="preserve">Any violation of these limitations shall be reported in accordance with the requirements of Part III.F.1. </w:t>
      </w:r>
      <w:proofErr w:type="gramStart"/>
      <w:r w:rsidR="00871D7B" w:rsidRPr="00807E2A">
        <w:rPr>
          <w:sz w:val="22"/>
          <w:szCs w:val="22"/>
        </w:rPr>
        <w:t>of</w:t>
      </w:r>
      <w:proofErr w:type="gramEnd"/>
      <w:r w:rsidR="00871D7B" w:rsidRPr="00807E2A">
        <w:rPr>
          <w:sz w:val="22"/>
          <w:szCs w:val="22"/>
        </w:rPr>
        <w:t xml:space="preserve"> the permit</w:t>
      </w:r>
      <w:r w:rsidR="00871D7B" w:rsidRPr="00807E2A">
        <w:rPr>
          <w:color w:val="000000"/>
          <w:sz w:val="22"/>
          <w:szCs w:val="22"/>
        </w:rPr>
        <w:t xml:space="preserve"> </w:t>
      </w:r>
      <w:r w:rsidR="00871D7B">
        <w:rPr>
          <w:color w:val="000000"/>
          <w:sz w:val="22"/>
          <w:szCs w:val="22"/>
        </w:rPr>
        <w:t>.</w:t>
      </w:r>
      <w:r w:rsidRPr="00807E2A">
        <w:rPr>
          <w:color w:val="000000"/>
          <w:sz w:val="22"/>
          <w:szCs w:val="22"/>
        </w:rPr>
        <w:t>If the biosolids do not meet these requirements they cannot be land applied.</w:t>
      </w:r>
    </w:p>
    <w:p w:rsidR="00807E2A" w:rsidRPr="00807E2A" w:rsidRDefault="00807E2A" w:rsidP="00807E2A">
      <w:pPr>
        <w:rPr>
          <w:color w:val="000000"/>
          <w:sz w:val="22"/>
          <w:szCs w:val="22"/>
        </w:rPr>
      </w:pPr>
      <w:r w:rsidRPr="00807E2A">
        <w:rPr>
          <w:color w:val="000000"/>
          <w:sz w:val="22"/>
          <w:szCs w:val="22"/>
        </w:rPr>
        <w:tab/>
      </w:r>
    </w:p>
    <w:p w:rsidR="00807E2A" w:rsidRPr="00807E2A" w:rsidRDefault="00807E2A" w:rsidP="00807E2A">
      <w:pPr>
        <w:jc w:val="both"/>
        <w:rPr>
          <w:sz w:val="22"/>
          <w:szCs w:val="22"/>
          <w:u w:val="single"/>
        </w:rPr>
      </w:pPr>
      <w:r w:rsidRPr="00807E2A">
        <w:rPr>
          <w:sz w:val="22"/>
          <w:szCs w:val="22"/>
          <w:u w:val="single"/>
        </w:rPr>
        <w:t>Pathogens</w:t>
      </w:r>
    </w:p>
    <w:p w:rsidR="00807E2A" w:rsidRPr="00807E2A" w:rsidRDefault="00807E2A" w:rsidP="00807E2A">
      <w:pPr>
        <w:jc w:val="both"/>
        <w:rPr>
          <w:b/>
          <w:sz w:val="22"/>
          <w:szCs w:val="22"/>
          <w:u w:val="single"/>
        </w:rPr>
      </w:pPr>
      <w:r w:rsidRPr="00807E2A">
        <w:rPr>
          <w:b/>
          <w:sz w:val="22"/>
          <w:szCs w:val="22"/>
          <w:u w:val="single"/>
        </w:rPr>
        <w:t xml:space="preserve"> </w:t>
      </w:r>
    </w:p>
    <w:p w:rsidR="00770A3B" w:rsidRDefault="00807E2A" w:rsidP="00770A3B">
      <w:pPr>
        <w:widowControl/>
        <w:tabs>
          <w:tab w:val="left" w:pos="6336"/>
        </w:tabs>
        <w:rPr>
          <w:sz w:val="22"/>
          <w:szCs w:val="22"/>
        </w:rPr>
      </w:pPr>
      <w:r w:rsidRPr="00807E2A">
        <w:rPr>
          <w:sz w:val="22"/>
          <w:szCs w:val="22"/>
        </w:rPr>
        <w:t>The Pathogen Control class listed in the table below must be met;</w:t>
      </w:r>
    </w:p>
    <w:p w:rsidR="00770A3B" w:rsidRDefault="00770A3B" w:rsidP="00770A3B">
      <w:pPr>
        <w:widowControl/>
        <w:tabs>
          <w:tab w:val="left" w:pos="6336"/>
        </w:tabs>
        <w:rPr>
          <w:sz w:val="22"/>
          <w:szCs w:val="22"/>
        </w:rPr>
      </w:pPr>
    </w:p>
    <w:tbl>
      <w:tblPr>
        <w:tblW w:w="89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60"/>
        <w:gridCol w:w="4460"/>
      </w:tblGrid>
      <w:tr w:rsidR="00770A3B" w:rsidRPr="00F964D1" w:rsidTr="00F964D1">
        <w:trPr>
          <w:cantSplit/>
          <w:trHeight w:val="144"/>
          <w:jc w:val="center"/>
        </w:trPr>
        <w:tc>
          <w:tcPr>
            <w:tcW w:w="8920" w:type="dxa"/>
            <w:gridSpan w:val="2"/>
            <w:shd w:val="clear" w:color="auto" w:fill="auto"/>
            <w:noWrap/>
            <w:hideMark/>
          </w:tcPr>
          <w:p w:rsidR="00770A3B" w:rsidRPr="00F964D1" w:rsidRDefault="00770A3B" w:rsidP="007E5CE8">
            <w:pPr>
              <w:contextualSpacing/>
              <w:jc w:val="center"/>
              <w:rPr>
                <w:sz w:val="22"/>
                <w:szCs w:val="22"/>
              </w:rPr>
            </w:pPr>
            <w:r w:rsidRPr="00F964D1">
              <w:rPr>
                <w:sz w:val="22"/>
                <w:szCs w:val="22"/>
              </w:rPr>
              <w:t>Pathogen Control Class</w:t>
            </w:r>
          </w:p>
        </w:tc>
      </w:tr>
      <w:tr w:rsidR="00770A3B" w:rsidRPr="00F964D1" w:rsidTr="00F964D1">
        <w:trPr>
          <w:cantSplit/>
          <w:trHeight w:val="144"/>
          <w:jc w:val="center"/>
        </w:trPr>
        <w:tc>
          <w:tcPr>
            <w:tcW w:w="4460" w:type="dxa"/>
            <w:shd w:val="clear" w:color="auto" w:fill="auto"/>
            <w:noWrap/>
            <w:hideMark/>
          </w:tcPr>
          <w:p w:rsidR="00770A3B" w:rsidRPr="00F964D1" w:rsidRDefault="00770A3B" w:rsidP="007E5CE8">
            <w:pPr>
              <w:contextualSpacing/>
              <w:jc w:val="center"/>
              <w:rPr>
                <w:sz w:val="22"/>
                <w:szCs w:val="22"/>
              </w:rPr>
            </w:pPr>
            <w:r w:rsidRPr="00F964D1">
              <w:rPr>
                <w:sz w:val="22"/>
                <w:szCs w:val="22"/>
              </w:rPr>
              <w:t>Class A</w:t>
            </w:r>
          </w:p>
        </w:tc>
        <w:tc>
          <w:tcPr>
            <w:tcW w:w="4460" w:type="dxa"/>
            <w:shd w:val="clear" w:color="auto" w:fill="auto"/>
            <w:noWrap/>
            <w:hideMark/>
          </w:tcPr>
          <w:p w:rsidR="00770A3B" w:rsidRPr="00F964D1" w:rsidRDefault="00770A3B" w:rsidP="007E5CE8">
            <w:pPr>
              <w:contextualSpacing/>
              <w:jc w:val="center"/>
              <w:rPr>
                <w:sz w:val="22"/>
                <w:szCs w:val="22"/>
              </w:rPr>
            </w:pPr>
            <w:r w:rsidRPr="00F964D1">
              <w:rPr>
                <w:sz w:val="22"/>
                <w:szCs w:val="22"/>
              </w:rPr>
              <w:t>Class B</w:t>
            </w:r>
          </w:p>
        </w:tc>
      </w:tr>
      <w:tr w:rsidR="00770A3B" w:rsidRPr="00F964D1" w:rsidTr="00F964D1">
        <w:trPr>
          <w:cantSplit/>
          <w:trHeight w:val="144"/>
          <w:jc w:val="center"/>
        </w:trPr>
        <w:tc>
          <w:tcPr>
            <w:tcW w:w="4460" w:type="dxa"/>
            <w:shd w:val="clear" w:color="auto" w:fill="auto"/>
            <w:hideMark/>
          </w:tcPr>
          <w:p w:rsidR="00770A3B" w:rsidRPr="00F964D1" w:rsidRDefault="00770A3B" w:rsidP="007E5CE8">
            <w:pPr>
              <w:contextualSpacing/>
              <w:rPr>
                <w:sz w:val="22"/>
                <w:szCs w:val="22"/>
              </w:rPr>
            </w:pPr>
            <w:r w:rsidRPr="00F964D1">
              <w:rPr>
                <w:sz w:val="22"/>
                <w:szCs w:val="22"/>
              </w:rPr>
              <w:t xml:space="preserve">B Salmonella species –less than three (3) </w:t>
            </w:r>
            <w:r w:rsidRPr="00706EA9">
              <w:rPr>
                <w:color w:val="000000"/>
                <w:sz w:val="22"/>
                <w:szCs w:val="22"/>
              </w:rPr>
              <w:t>MPN</w:t>
            </w:r>
            <w:r w:rsidRPr="00706EA9">
              <w:rPr>
                <w:rStyle w:val="FootnoteReference"/>
                <w:color w:val="000000"/>
                <w:sz w:val="22"/>
                <w:szCs w:val="22"/>
              </w:rPr>
              <w:footnoteReference w:id="3"/>
            </w:r>
            <w:r w:rsidRPr="00706EA9">
              <w:rPr>
                <w:color w:val="000000"/>
                <w:sz w:val="22"/>
                <w:szCs w:val="22"/>
              </w:rPr>
              <w:t xml:space="preserve"> </w:t>
            </w:r>
            <w:r w:rsidRPr="00F964D1">
              <w:rPr>
                <w:sz w:val="22"/>
                <w:szCs w:val="22"/>
              </w:rPr>
              <w:t>per four (4) grams total solids (or less than 1,000 fecal coliforms per gram total solids)</w:t>
            </w:r>
          </w:p>
        </w:tc>
        <w:tc>
          <w:tcPr>
            <w:tcW w:w="4460" w:type="dxa"/>
            <w:shd w:val="clear" w:color="auto" w:fill="auto"/>
            <w:hideMark/>
          </w:tcPr>
          <w:p w:rsidR="00770A3B" w:rsidRPr="00F964D1" w:rsidRDefault="00770A3B" w:rsidP="007E5CE8">
            <w:pPr>
              <w:contextualSpacing/>
              <w:rPr>
                <w:sz w:val="22"/>
                <w:szCs w:val="22"/>
              </w:rPr>
            </w:pPr>
            <w:r w:rsidRPr="00F964D1">
              <w:rPr>
                <w:sz w:val="22"/>
                <w:szCs w:val="22"/>
              </w:rPr>
              <w:t>Fecal Coliforms –less than 2,000,000 colony forming units (CFU) per gram total solids</w:t>
            </w:r>
          </w:p>
        </w:tc>
      </w:tr>
      <w:tr w:rsidR="00770A3B" w:rsidRPr="00F964D1" w:rsidTr="00F964D1">
        <w:trPr>
          <w:cantSplit/>
          <w:trHeight w:val="144"/>
          <w:jc w:val="center"/>
        </w:trPr>
        <w:tc>
          <w:tcPr>
            <w:tcW w:w="4460" w:type="dxa"/>
            <w:shd w:val="clear" w:color="auto" w:fill="auto"/>
            <w:hideMark/>
          </w:tcPr>
          <w:p w:rsidR="00770A3B" w:rsidRPr="00F964D1" w:rsidRDefault="00770A3B" w:rsidP="007E5CE8">
            <w:pPr>
              <w:contextualSpacing/>
              <w:rPr>
                <w:sz w:val="22"/>
                <w:szCs w:val="22"/>
              </w:rPr>
            </w:pPr>
            <w:r w:rsidRPr="00F964D1">
              <w:rPr>
                <w:sz w:val="22"/>
                <w:szCs w:val="22"/>
              </w:rPr>
              <w:t>Enteric viruses –less than one (1) MPN (or plaque forming unit) per four (4) grams total solids</w:t>
            </w:r>
          </w:p>
        </w:tc>
        <w:tc>
          <w:tcPr>
            <w:tcW w:w="4460" w:type="dxa"/>
            <w:shd w:val="clear" w:color="auto" w:fill="auto"/>
          </w:tcPr>
          <w:p w:rsidR="00770A3B" w:rsidRPr="00F964D1" w:rsidRDefault="00770A3B" w:rsidP="007E5CE8">
            <w:pPr>
              <w:contextualSpacing/>
              <w:rPr>
                <w:sz w:val="22"/>
                <w:szCs w:val="22"/>
              </w:rPr>
            </w:pPr>
          </w:p>
        </w:tc>
      </w:tr>
      <w:tr w:rsidR="00770A3B" w:rsidRPr="00F964D1" w:rsidTr="00F964D1">
        <w:trPr>
          <w:cantSplit/>
          <w:trHeight w:val="144"/>
          <w:jc w:val="center"/>
        </w:trPr>
        <w:tc>
          <w:tcPr>
            <w:tcW w:w="4460" w:type="dxa"/>
            <w:shd w:val="clear" w:color="auto" w:fill="auto"/>
            <w:hideMark/>
          </w:tcPr>
          <w:p w:rsidR="00770A3B" w:rsidRPr="00F964D1" w:rsidRDefault="00770A3B" w:rsidP="007E5CE8">
            <w:pPr>
              <w:contextualSpacing/>
              <w:rPr>
                <w:sz w:val="22"/>
                <w:szCs w:val="22"/>
              </w:rPr>
            </w:pPr>
            <w:r w:rsidRPr="00F964D1">
              <w:rPr>
                <w:sz w:val="22"/>
                <w:szCs w:val="22"/>
              </w:rPr>
              <w:t>Viable helminth ova –less than one (1) MPN per four (4) grams total solids</w:t>
            </w:r>
          </w:p>
        </w:tc>
        <w:tc>
          <w:tcPr>
            <w:tcW w:w="4460" w:type="dxa"/>
            <w:shd w:val="clear" w:color="auto" w:fill="auto"/>
            <w:hideMark/>
          </w:tcPr>
          <w:p w:rsidR="00770A3B" w:rsidRPr="00F964D1" w:rsidRDefault="00770A3B" w:rsidP="007E5CE8">
            <w:pPr>
              <w:contextualSpacing/>
              <w:rPr>
                <w:sz w:val="22"/>
                <w:szCs w:val="22"/>
              </w:rPr>
            </w:pPr>
            <w:r w:rsidRPr="00F964D1">
              <w:rPr>
                <w:sz w:val="22"/>
                <w:szCs w:val="22"/>
              </w:rPr>
              <w:t> </w:t>
            </w:r>
          </w:p>
        </w:tc>
      </w:tr>
    </w:tbl>
    <w:p w:rsidR="00807E2A" w:rsidRPr="00807E2A" w:rsidRDefault="00770A3B" w:rsidP="00770A3B">
      <w:pPr>
        <w:widowControl/>
        <w:tabs>
          <w:tab w:val="left" w:pos="6336"/>
        </w:tabs>
        <w:rPr>
          <w:color w:val="000000"/>
          <w:sz w:val="22"/>
          <w:szCs w:val="22"/>
        </w:rPr>
      </w:pPr>
      <w:r>
        <w:rPr>
          <w:sz w:val="22"/>
          <w:szCs w:val="22"/>
        </w:rPr>
        <w:tab/>
      </w:r>
    </w:p>
    <w:p w:rsidR="00807E2A" w:rsidRPr="00807E2A" w:rsidRDefault="00807E2A" w:rsidP="00807E2A">
      <w:pPr>
        <w:jc w:val="both"/>
        <w:rPr>
          <w:sz w:val="22"/>
          <w:szCs w:val="22"/>
          <w:u w:val="single"/>
        </w:rPr>
      </w:pPr>
      <w:r w:rsidRPr="00807E2A">
        <w:rPr>
          <w:sz w:val="22"/>
          <w:szCs w:val="22"/>
          <w:u w:val="single"/>
        </w:rPr>
        <w:t xml:space="preserve">Class </w:t>
      </w:r>
      <w:proofErr w:type="gramStart"/>
      <w:r w:rsidRPr="00807E2A">
        <w:rPr>
          <w:sz w:val="22"/>
          <w:szCs w:val="22"/>
          <w:u w:val="single"/>
        </w:rPr>
        <w:t>A</w:t>
      </w:r>
      <w:proofErr w:type="gramEnd"/>
      <w:r w:rsidRPr="00807E2A">
        <w:rPr>
          <w:sz w:val="22"/>
          <w:szCs w:val="22"/>
          <w:u w:val="single"/>
        </w:rPr>
        <w:t xml:space="preserve"> Requirements </w:t>
      </w:r>
      <w:r w:rsidRPr="00807E2A">
        <w:rPr>
          <w:bCs/>
          <w:color w:val="000000"/>
          <w:sz w:val="22"/>
          <w:szCs w:val="22"/>
          <w:u w:val="single"/>
        </w:rPr>
        <w:t>for Home Lawn and Garden Use</w:t>
      </w:r>
    </w:p>
    <w:p w:rsidR="003074F5" w:rsidRPr="003074F5" w:rsidRDefault="00770A3B" w:rsidP="003074F5">
      <w:pPr>
        <w:jc w:val="both"/>
        <w:rPr>
          <w:sz w:val="22"/>
          <w:szCs w:val="22"/>
        </w:rPr>
      </w:pPr>
      <w:r w:rsidRPr="00EF0C63">
        <w:rPr>
          <w:sz w:val="22"/>
          <w:szCs w:val="22"/>
        </w:rPr>
        <w:t xml:space="preserve">If biosolids are land applied to home lawns and gardens, the biosolids need to be treated by a specific </w:t>
      </w:r>
      <w:r w:rsidRPr="00EF0C63">
        <w:rPr>
          <w:sz w:val="22"/>
          <w:szCs w:val="22"/>
        </w:rPr>
        <w:lastRenderedPageBreak/>
        <w:t xml:space="preserve">process to further reduce pathogens (PFRP), and meet a microbiological limit of less than less than 3 most probable number (MPN) of </w:t>
      </w:r>
      <w:r w:rsidRPr="00EF0C63">
        <w:rPr>
          <w:i/>
          <w:iCs/>
          <w:sz w:val="22"/>
          <w:szCs w:val="22"/>
        </w:rPr>
        <w:t>Salmonella</w:t>
      </w:r>
      <w:r w:rsidRPr="00EF0C63">
        <w:rPr>
          <w:sz w:val="22"/>
          <w:szCs w:val="22"/>
        </w:rPr>
        <w:t xml:space="preserve"> per 4 grams of total solids (or less than 1,000 most probable number (MPN/g) of fecal coliform per gram of total solids) to be considered Class A biosolids</w:t>
      </w:r>
      <w:r w:rsidR="00807E2A" w:rsidRPr="00807E2A">
        <w:rPr>
          <w:sz w:val="22"/>
          <w:szCs w:val="22"/>
        </w:rPr>
        <w:t xml:space="preserve">. The </w:t>
      </w:r>
      <w:r w:rsidR="003074F5" w:rsidRPr="003074F5">
        <w:rPr>
          <w:sz w:val="22"/>
          <w:szCs w:val="22"/>
        </w:rPr>
        <w:t xml:space="preserve">TWWTP will achieve PFRP through a method of windrow composting. </w:t>
      </w:r>
    </w:p>
    <w:p w:rsidR="003074F5" w:rsidRPr="003074F5" w:rsidRDefault="003074F5" w:rsidP="003074F5">
      <w:pPr>
        <w:tabs>
          <w:tab w:val="left" w:pos="1843"/>
        </w:tabs>
        <w:ind w:left="3600" w:hanging="3240"/>
        <w:rPr>
          <w:iCs/>
          <w:sz w:val="22"/>
          <w:szCs w:val="22"/>
        </w:rPr>
      </w:pPr>
      <w:r w:rsidRPr="003074F5">
        <w:rPr>
          <w:iCs/>
          <w:sz w:val="22"/>
          <w:szCs w:val="22"/>
        </w:rPr>
        <w:tab/>
      </w:r>
    </w:p>
    <w:p w:rsidR="003074F5" w:rsidRPr="003074F5" w:rsidRDefault="003074F5" w:rsidP="003074F5">
      <w:pPr>
        <w:tabs>
          <w:tab w:val="left" w:pos="720"/>
        </w:tabs>
        <w:ind w:left="3600" w:hanging="3240"/>
        <w:rPr>
          <w:iCs/>
          <w:sz w:val="22"/>
          <w:szCs w:val="22"/>
        </w:rPr>
      </w:pPr>
      <w:r w:rsidRPr="003074F5">
        <w:rPr>
          <w:iCs/>
          <w:sz w:val="22"/>
          <w:szCs w:val="22"/>
        </w:rPr>
        <w:t xml:space="preserve">1. </w:t>
      </w:r>
      <w:r w:rsidRPr="003074F5">
        <w:rPr>
          <w:iCs/>
          <w:sz w:val="22"/>
          <w:szCs w:val="22"/>
        </w:rPr>
        <w:tab/>
        <w:t>Windrow Method-</w:t>
      </w:r>
      <w:r w:rsidRPr="003074F5">
        <w:rPr>
          <w:iCs/>
          <w:sz w:val="22"/>
          <w:szCs w:val="22"/>
        </w:rPr>
        <w:tab/>
        <w:t xml:space="preserve">Using the windrow method of composting, the temperature needs to be maintained at 55 </w:t>
      </w:r>
      <w:proofErr w:type="spellStart"/>
      <w:r w:rsidRPr="003074F5">
        <w:rPr>
          <w:iCs/>
          <w:sz w:val="22"/>
          <w:szCs w:val="22"/>
          <w:vertAlign w:val="superscript"/>
        </w:rPr>
        <w:t>o</w:t>
      </w:r>
      <w:r w:rsidRPr="003074F5">
        <w:rPr>
          <w:iCs/>
          <w:sz w:val="22"/>
          <w:szCs w:val="22"/>
        </w:rPr>
        <w:t>C</w:t>
      </w:r>
      <w:proofErr w:type="spellEnd"/>
      <w:r w:rsidRPr="003074F5">
        <w:rPr>
          <w:iCs/>
          <w:sz w:val="22"/>
          <w:szCs w:val="22"/>
        </w:rPr>
        <w:t xml:space="preserve"> (131 </w:t>
      </w:r>
      <w:proofErr w:type="spellStart"/>
      <w:r w:rsidRPr="003074F5">
        <w:rPr>
          <w:iCs/>
          <w:sz w:val="22"/>
          <w:szCs w:val="22"/>
          <w:vertAlign w:val="superscript"/>
        </w:rPr>
        <w:t>o</w:t>
      </w:r>
      <w:r w:rsidRPr="003074F5">
        <w:rPr>
          <w:iCs/>
          <w:sz w:val="22"/>
          <w:szCs w:val="22"/>
        </w:rPr>
        <w:t>F</w:t>
      </w:r>
      <w:proofErr w:type="spellEnd"/>
      <w:r w:rsidRPr="003074F5">
        <w:rPr>
          <w:iCs/>
          <w:sz w:val="22"/>
          <w:szCs w:val="22"/>
        </w:rPr>
        <w:t xml:space="preserve">) or higher for fifteen days, with a minimum of five turnings during those fifteen days, </w:t>
      </w:r>
    </w:p>
    <w:p w:rsidR="003074F5" w:rsidRPr="003074F5" w:rsidRDefault="003074F5" w:rsidP="003074F5">
      <w:pPr>
        <w:jc w:val="both"/>
        <w:rPr>
          <w:sz w:val="22"/>
          <w:szCs w:val="22"/>
        </w:rPr>
      </w:pPr>
    </w:p>
    <w:p w:rsidR="00807E2A" w:rsidRPr="003074F5" w:rsidRDefault="003074F5" w:rsidP="003074F5">
      <w:pPr>
        <w:jc w:val="both"/>
        <w:rPr>
          <w:iCs/>
          <w:sz w:val="22"/>
          <w:szCs w:val="22"/>
        </w:rPr>
      </w:pPr>
      <w:r w:rsidRPr="003074F5">
        <w:rPr>
          <w:sz w:val="22"/>
          <w:szCs w:val="22"/>
        </w:rPr>
        <w:t xml:space="preserve">The composting method is found under </w:t>
      </w:r>
      <w:r w:rsidRPr="003074F5">
        <w:rPr>
          <w:i/>
          <w:iCs/>
          <w:sz w:val="22"/>
          <w:szCs w:val="22"/>
        </w:rPr>
        <w:t>(40 CFR 503.32(a</w:t>
      </w:r>
      <w:proofErr w:type="gramStart"/>
      <w:r w:rsidRPr="003074F5">
        <w:rPr>
          <w:i/>
          <w:iCs/>
          <w:sz w:val="22"/>
          <w:szCs w:val="22"/>
        </w:rPr>
        <w:t>)(</w:t>
      </w:r>
      <w:proofErr w:type="gramEnd"/>
      <w:r w:rsidRPr="003074F5">
        <w:rPr>
          <w:i/>
          <w:iCs/>
          <w:sz w:val="22"/>
          <w:szCs w:val="22"/>
        </w:rPr>
        <w:t>8)(ii)).</w:t>
      </w:r>
    </w:p>
    <w:p w:rsidR="003074F5" w:rsidRPr="003074F5" w:rsidRDefault="003074F5" w:rsidP="003074F5">
      <w:pPr>
        <w:jc w:val="both"/>
        <w:rPr>
          <w:sz w:val="22"/>
          <w:szCs w:val="22"/>
        </w:rPr>
      </w:pPr>
    </w:p>
    <w:p w:rsidR="00807E2A" w:rsidRPr="00807E2A" w:rsidRDefault="00807E2A" w:rsidP="00807E2A">
      <w:pPr>
        <w:rPr>
          <w:sz w:val="22"/>
          <w:szCs w:val="22"/>
        </w:rPr>
      </w:pPr>
      <w:r w:rsidRPr="00807E2A">
        <w:rPr>
          <w:sz w:val="22"/>
          <w:szCs w:val="22"/>
        </w:rPr>
        <w:t xml:space="preserve">The practice of sale or giveaway to the public is an acceptable use of biosolids of this quality as long as the biosolids continue to meet Class A standards with respect to pathogens. If the biosolids do not meet Class A pathogen standards the biosolids cannot be sold or given away to the public, and the permittee will need find another method of beneficial use or disposal.     </w:t>
      </w:r>
    </w:p>
    <w:p w:rsidR="00807E2A" w:rsidRPr="00807E2A" w:rsidRDefault="00807E2A" w:rsidP="00807E2A">
      <w:pPr>
        <w:jc w:val="both"/>
        <w:rPr>
          <w:b/>
          <w:sz w:val="22"/>
          <w:szCs w:val="22"/>
          <w:u w:val="single"/>
        </w:rPr>
      </w:pPr>
    </w:p>
    <w:p w:rsidR="00807E2A" w:rsidRPr="00807E2A" w:rsidRDefault="00807E2A" w:rsidP="00807E2A">
      <w:pPr>
        <w:jc w:val="both"/>
        <w:rPr>
          <w:sz w:val="22"/>
          <w:szCs w:val="22"/>
          <w:u w:val="single"/>
        </w:rPr>
      </w:pPr>
      <w:r w:rsidRPr="00807E2A">
        <w:rPr>
          <w:sz w:val="22"/>
          <w:szCs w:val="22"/>
          <w:u w:val="single"/>
        </w:rPr>
        <w:t>Pathogens Class B</w:t>
      </w:r>
    </w:p>
    <w:p w:rsidR="00807E2A" w:rsidRPr="00807E2A" w:rsidRDefault="00807E2A" w:rsidP="00807E2A">
      <w:pPr>
        <w:jc w:val="both"/>
        <w:rPr>
          <w:sz w:val="22"/>
          <w:szCs w:val="22"/>
        </w:rPr>
      </w:pPr>
      <w:r w:rsidRPr="00807E2A">
        <w:rPr>
          <w:sz w:val="22"/>
          <w:szCs w:val="22"/>
        </w:rPr>
        <w:t xml:space="preserve">If biosolids are to be land applied for agriculture or land reclamation the solids need to be treated by a specific process to significantly reduce pathogens (PSRP). The PSRP may be accomplished through </w:t>
      </w:r>
      <w:r w:rsidR="003074F5">
        <w:rPr>
          <w:sz w:val="22"/>
          <w:szCs w:val="22"/>
        </w:rPr>
        <w:t xml:space="preserve">testing or </w:t>
      </w:r>
      <w:proofErr w:type="spellStart"/>
      <w:r w:rsidR="003074F5">
        <w:rPr>
          <w:sz w:val="22"/>
          <w:szCs w:val="22"/>
        </w:rPr>
        <w:t>composting</w:t>
      </w:r>
      <w:r w:rsidRPr="00807E2A">
        <w:rPr>
          <w:sz w:val="22"/>
          <w:szCs w:val="22"/>
        </w:rPr>
        <w:t>composting</w:t>
      </w:r>
      <w:proofErr w:type="spellEnd"/>
      <w:r w:rsidRPr="00807E2A">
        <w:rPr>
          <w:sz w:val="22"/>
          <w:szCs w:val="22"/>
        </w:rPr>
        <w:t xml:space="preserve">: </w:t>
      </w:r>
      <w:r w:rsidRPr="00807E2A" w:rsidDel="00A579A2">
        <w:rPr>
          <w:sz w:val="22"/>
          <w:szCs w:val="22"/>
        </w:rPr>
        <w:t xml:space="preserve"> </w:t>
      </w:r>
    </w:p>
    <w:p w:rsidR="00807E2A" w:rsidRPr="00807E2A" w:rsidRDefault="00770A3B" w:rsidP="00770A3B">
      <w:pPr>
        <w:tabs>
          <w:tab w:val="left" w:pos="4170"/>
        </w:tabs>
        <w:jc w:val="both"/>
        <w:rPr>
          <w:sz w:val="22"/>
          <w:szCs w:val="22"/>
        </w:rPr>
      </w:pPr>
      <w:r>
        <w:rPr>
          <w:sz w:val="22"/>
          <w:szCs w:val="22"/>
        </w:rPr>
        <w:tab/>
      </w:r>
    </w:p>
    <w:p w:rsidR="00807E2A" w:rsidRPr="00807E2A" w:rsidRDefault="00807E2A" w:rsidP="00807E2A">
      <w:pPr>
        <w:ind w:left="1440" w:right="720" w:hanging="720"/>
        <w:rPr>
          <w:sz w:val="22"/>
          <w:szCs w:val="22"/>
        </w:rPr>
      </w:pPr>
      <w:r w:rsidRPr="00807E2A">
        <w:rPr>
          <w:sz w:val="22"/>
          <w:szCs w:val="22"/>
        </w:rPr>
        <w:t xml:space="preserve">1. </w:t>
      </w:r>
      <w:r w:rsidRPr="00807E2A">
        <w:rPr>
          <w:sz w:val="22"/>
          <w:szCs w:val="22"/>
        </w:rPr>
        <w:tab/>
        <w:t xml:space="preserve">Under </w:t>
      </w:r>
      <w:r w:rsidRPr="00770A3B">
        <w:rPr>
          <w:i/>
          <w:sz w:val="22"/>
          <w:szCs w:val="22"/>
        </w:rPr>
        <w:t>40 CFR 503.32 (b)(2)</w:t>
      </w:r>
      <w:r w:rsidRPr="00807E2A">
        <w:rPr>
          <w:sz w:val="22"/>
          <w:szCs w:val="22"/>
        </w:rPr>
        <w:t xml:space="preserve">, TSSD may test the biosolids and must meet a microbiological limit of less than 2,000,000 MPN of fecal coliform per gram for the biosolids to be considered Class B biosolids with respect to pathogens. </w:t>
      </w:r>
    </w:p>
    <w:p w:rsidR="00807E2A" w:rsidRPr="00807E2A" w:rsidRDefault="00807E2A" w:rsidP="00807E2A">
      <w:pPr>
        <w:ind w:left="1440" w:right="720" w:hanging="720"/>
        <w:rPr>
          <w:sz w:val="22"/>
          <w:szCs w:val="22"/>
        </w:rPr>
      </w:pPr>
    </w:p>
    <w:p w:rsidR="00807E2A" w:rsidRPr="00807E2A" w:rsidRDefault="00807E2A" w:rsidP="003074F5">
      <w:pPr>
        <w:keepNext/>
        <w:widowControl/>
        <w:ind w:left="1440" w:right="720" w:hanging="720"/>
        <w:outlineLvl w:val="2"/>
        <w:rPr>
          <w:sz w:val="22"/>
          <w:szCs w:val="22"/>
        </w:rPr>
      </w:pPr>
      <w:r w:rsidRPr="00807E2A">
        <w:rPr>
          <w:sz w:val="22"/>
          <w:szCs w:val="22"/>
        </w:rPr>
        <w:t>2.</w:t>
      </w:r>
      <w:r w:rsidRPr="00807E2A">
        <w:rPr>
          <w:sz w:val="22"/>
          <w:szCs w:val="22"/>
        </w:rPr>
        <w:tab/>
      </w:r>
      <w:r w:rsidRPr="00807E2A">
        <w:rPr>
          <w:rFonts w:cs="Times"/>
          <w:sz w:val="22"/>
          <w:szCs w:val="22"/>
        </w:rPr>
        <w:t xml:space="preserve">Under </w:t>
      </w:r>
      <w:r w:rsidRPr="00770A3B">
        <w:rPr>
          <w:i/>
          <w:iCs/>
          <w:sz w:val="22"/>
          <w:szCs w:val="22"/>
        </w:rPr>
        <w:t>40 CFR 503.32 (b</w:t>
      </w:r>
      <w:proofErr w:type="gramStart"/>
      <w:r w:rsidRPr="00770A3B">
        <w:rPr>
          <w:i/>
          <w:iCs/>
          <w:sz w:val="22"/>
          <w:szCs w:val="22"/>
        </w:rPr>
        <w:t>)(</w:t>
      </w:r>
      <w:proofErr w:type="gramEnd"/>
      <w:r w:rsidRPr="00770A3B">
        <w:rPr>
          <w:i/>
          <w:iCs/>
          <w:sz w:val="22"/>
          <w:szCs w:val="22"/>
        </w:rPr>
        <w:t>3</w:t>
      </w:r>
      <w:r w:rsidRPr="00770A3B">
        <w:rPr>
          <w:i/>
          <w:sz w:val="22"/>
          <w:szCs w:val="22"/>
        </w:rPr>
        <w:t>)</w:t>
      </w:r>
      <w:r w:rsidRPr="00807E2A">
        <w:rPr>
          <w:sz w:val="22"/>
          <w:szCs w:val="22"/>
        </w:rPr>
        <w:t xml:space="preserve"> the PSRP may be accomplished through composting. </w:t>
      </w:r>
      <w:r w:rsidRPr="00807E2A">
        <w:rPr>
          <w:rFonts w:ascii="Times" w:hAnsi="Times"/>
          <w:iCs/>
          <w:sz w:val="22"/>
          <w:szCs w:val="22"/>
        </w:rPr>
        <w:t xml:space="preserve"> </w:t>
      </w:r>
      <w:r w:rsidRPr="00807E2A">
        <w:rPr>
          <w:iCs/>
          <w:sz w:val="22"/>
          <w:szCs w:val="22"/>
        </w:rPr>
        <w:t xml:space="preserve"> To achieve this, the temperature must be above 40</w:t>
      </w:r>
      <w:r w:rsidRPr="00807E2A">
        <w:rPr>
          <w:iCs/>
          <w:sz w:val="22"/>
          <w:szCs w:val="22"/>
          <w:vertAlign w:val="superscript"/>
        </w:rPr>
        <w:t xml:space="preserve">o </w:t>
      </w:r>
      <w:r w:rsidRPr="00807E2A">
        <w:rPr>
          <w:iCs/>
          <w:sz w:val="22"/>
          <w:szCs w:val="22"/>
        </w:rPr>
        <w:t>C (104</w:t>
      </w:r>
      <w:r w:rsidRPr="00807E2A">
        <w:rPr>
          <w:iCs/>
          <w:sz w:val="22"/>
          <w:szCs w:val="22"/>
          <w:vertAlign w:val="superscript"/>
        </w:rPr>
        <w:t xml:space="preserve">o </w:t>
      </w:r>
      <w:r w:rsidRPr="00807E2A">
        <w:rPr>
          <w:iCs/>
          <w:sz w:val="22"/>
          <w:szCs w:val="22"/>
        </w:rPr>
        <w:t>F) or higher, and remain at 40</w:t>
      </w:r>
      <w:r w:rsidRPr="00807E2A">
        <w:rPr>
          <w:iCs/>
          <w:sz w:val="22"/>
          <w:szCs w:val="22"/>
          <w:vertAlign w:val="superscript"/>
        </w:rPr>
        <w:t xml:space="preserve">o </w:t>
      </w:r>
      <w:r w:rsidRPr="00807E2A">
        <w:rPr>
          <w:iCs/>
          <w:sz w:val="22"/>
          <w:szCs w:val="22"/>
        </w:rPr>
        <w:t>C or higher for a minimum of five days. For four hours, during the five days, the temperature needs to exceed 55</w:t>
      </w:r>
      <w:r w:rsidRPr="00807E2A">
        <w:rPr>
          <w:iCs/>
          <w:sz w:val="22"/>
          <w:szCs w:val="22"/>
          <w:vertAlign w:val="superscript"/>
        </w:rPr>
        <w:t xml:space="preserve">o </w:t>
      </w:r>
      <w:r w:rsidRPr="00807E2A">
        <w:rPr>
          <w:iCs/>
          <w:sz w:val="22"/>
          <w:szCs w:val="22"/>
        </w:rPr>
        <w:t>C (113</w:t>
      </w:r>
      <w:r w:rsidRPr="00807E2A">
        <w:rPr>
          <w:iCs/>
          <w:sz w:val="22"/>
          <w:szCs w:val="22"/>
          <w:vertAlign w:val="superscript"/>
        </w:rPr>
        <w:t xml:space="preserve">o </w:t>
      </w:r>
      <w:r w:rsidRPr="00807E2A">
        <w:rPr>
          <w:iCs/>
          <w:sz w:val="22"/>
          <w:szCs w:val="22"/>
        </w:rPr>
        <w:t>F)</w:t>
      </w:r>
      <w:r w:rsidRPr="00807E2A">
        <w:rPr>
          <w:sz w:val="22"/>
          <w:szCs w:val="22"/>
        </w:rPr>
        <w:t xml:space="preserve">. </w:t>
      </w:r>
    </w:p>
    <w:p w:rsidR="00807E2A" w:rsidRPr="00807E2A" w:rsidRDefault="00807E2A" w:rsidP="00807E2A">
      <w:pPr>
        <w:pStyle w:val="Heading3"/>
        <w:jc w:val="both"/>
        <w:rPr>
          <w:sz w:val="22"/>
          <w:szCs w:val="22"/>
        </w:rPr>
      </w:pPr>
      <w:r w:rsidRPr="00807E2A">
        <w:rPr>
          <w:sz w:val="22"/>
          <w:szCs w:val="22"/>
        </w:rPr>
        <w:t xml:space="preserve"> </w:t>
      </w:r>
    </w:p>
    <w:p w:rsidR="00807E2A" w:rsidRPr="00807E2A" w:rsidRDefault="00807E2A" w:rsidP="00807E2A">
      <w:pPr>
        <w:pStyle w:val="Heading3"/>
        <w:jc w:val="both"/>
        <w:rPr>
          <w:sz w:val="22"/>
          <w:szCs w:val="22"/>
        </w:rPr>
      </w:pPr>
      <w:r w:rsidRPr="00807E2A">
        <w:rPr>
          <w:sz w:val="22"/>
          <w:szCs w:val="22"/>
        </w:rPr>
        <w:t>Vector Attraction Reduction (VAR)</w:t>
      </w:r>
    </w:p>
    <w:p w:rsidR="00807E2A" w:rsidRPr="00807E2A" w:rsidRDefault="00807E2A" w:rsidP="00807E2A">
      <w:pPr>
        <w:jc w:val="both"/>
        <w:rPr>
          <w:rFonts w:cs="Times"/>
          <w:sz w:val="22"/>
          <w:szCs w:val="22"/>
        </w:rPr>
      </w:pPr>
      <w:r w:rsidRPr="00807E2A">
        <w:rPr>
          <w:rFonts w:cs="Times"/>
          <w:sz w:val="22"/>
          <w:szCs w:val="22"/>
        </w:rPr>
        <w:t>If</w:t>
      </w:r>
      <w:r w:rsidR="00A20861">
        <w:rPr>
          <w:rFonts w:cs="Times"/>
          <w:sz w:val="22"/>
          <w:szCs w:val="22"/>
        </w:rPr>
        <w:t xml:space="preserve"> the biosolids are land applied TWWTP</w:t>
      </w:r>
      <w:r w:rsidR="00770A3B" w:rsidRPr="00770A3B">
        <w:rPr>
          <w:rFonts w:cs="Times"/>
          <w:color w:val="FF0000"/>
          <w:sz w:val="22"/>
          <w:szCs w:val="22"/>
        </w:rPr>
        <w:t xml:space="preserve"> </w:t>
      </w:r>
      <w:r w:rsidRPr="00807E2A">
        <w:rPr>
          <w:rFonts w:cs="Times"/>
          <w:sz w:val="22"/>
          <w:szCs w:val="22"/>
        </w:rPr>
        <w:t xml:space="preserve">will be required to meet VAR through the use of a method of listed under </w:t>
      </w:r>
      <w:r w:rsidRPr="00807E2A">
        <w:rPr>
          <w:rFonts w:cs="Times"/>
          <w:i/>
          <w:iCs/>
          <w:sz w:val="22"/>
          <w:szCs w:val="22"/>
        </w:rPr>
        <w:t xml:space="preserve">40 CFR 503.33. </w:t>
      </w:r>
      <w:r w:rsidR="00A20861">
        <w:rPr>
          <w:rFonts w:cs="Times"/>
          <w:sz w:val="22"/>
          <w:szCs w:val="22"/>
        </w:rPr>
        <w:t xml:space="preserve"> The TWWTP </w:t>
      </w:r>
      <w:r w:rsidRPr="00807E2A">
        <w:rPr>
          <w:rFonts w:cs="Times"/>
          <w:sz w:val="22"/>
          <w:szCs w:val="22"/>
        </w:rPr>
        <w:t>intends to meet the vector attraction reduction requirements</w:t>
      </w:r>
      <w:r w:rsidR="003F5794">
        <w:rPr>
          <w:rFonts w:cs="Times"/>
          <w:sz w:val="22"/>
          <w:szCs w:val="22"/>
        </w:rPr>
        <w:t xml:space="preserve"> through one of the methods listed </w:t>
      </w:r>
      <w:r w:rsidRPr="00807E2A">
        <w:rPr>
          <w:rFonts w:cs="Times"/>
          <w:sz w:val="22"/>
          <w:szCs w:val="22"/>
        </w:rPr>
        <w:t xml:space="preserve">below. </w:t>
      </w:r>
    </w:p>
    <w:p w:rsidR="00807E2A" w:rsidRPr="00807E2A" w:rsidRDefault="00807E2A" w:rsidP="00807E2A">
      <w:pPr>
        <w:jc w:val="both"/>
        <w:rPr>
          <w:rFonts w:ascii="Times" w:hAnsi="Times"/>
          <w:sz w:val="22"/>
          <w:szCs w:val="22"/>
        </w:rPr>
      </w:pPr>
    </w:p>
    <w:p w:rsidR="00807E2A" w:rsidRPr="00807E2A" w:rsidRDefault="00807E2A" w:rsidP="00807E2A">
      <w:pPr>
        <w:ind w:left="720" w:hanging="720"/>
        <w:jc w:val="both"/>
        <w:rPr>
          <w:iCs/>
          <w:sz w:val="22"/>
          <w:szCs w:val="22"/>
        </w:rPr>
      </w:pPr>
      <w:r w:rsidRPr="00807E2A">
        <w:rPr>
          <w:sz w:val="22"/>
          <w:szCs w:val="22"/>
        </w:rPr>
        <w:t>1.</w:t>
      </w:r>
      <w:r w:rsidRPr="00807E2A">
        <w:rPr>
          <w:sz w:val="22"/>
          <w:szCs w:val="22"/>
        </w:rPr>
        <w:tab/>
        <w:t xml:space="preserve">Under </w:t>
      </w:r>
      <w:r w:rsidRPr="00807E2A">
        <w:rPr>
          <w:i/>
          <w:iCs/>
          <w:sz w:val="22"/>
          <w:szCs w:val="22"/>
        </w:rPr>
        <w:t xml:space="preserve">40 CFR 503.33(b)(5) </w:t>
      </w:r>
      <w:r w:rsidRPr="00807E2A">
        <w:rPr>
          <w:iCs/>
          <w:sz w:val="22"/>
          <w:szCs w:val="22"/>
        </w:rPr>
        <w:t>the solids need treated through composting with a temperature of 40</w:t>
      </w:r>
      <w:r w:rsidRPr="00807E2A">
        <w:rPr>
          <w:sz w:val="22"/>
          <w:szCs w:val="22"/>
        </w:rPr>
        <w:t xml:space="preserve">° C (104° F) or higher for at least 14 days with an average temperature  of over 45° C (113° F).  </w:t>
      </w:r>
      <w:r w:rsidRPr="00807E2A">
        <w:rPr>
          <w:iCs/>
          <w:sz w:val="22"/>
          <w:szCs w:val="22"/>
        </w:rPr>
        <w:t xml:space="preserve"> </w:t>
      </w:r>
    </w:p>
    <w:p w:rsidR="00807E2A" w:rsidRPr="00807E2A" w:rsidRDefault="00807E2A" w:rsidP="00807E2A">
      <w:pPr>
        <w:ind w:left="720" w:hanging="720"/>
        <w:jc w:val="both"/>
        <w:rPr>
          <w:iCs/>
          <w:sz w:val="22"/>
          <w:szCs w:val="22"/>
        </w:rPr>
      </w:pPr>
    </w:p>
    <w:p w:rsidR="00807E2A" w:rsidRPr="00807E2A" w:rsidRDefault="00807E2A" w:rsidP="00807E2A">
      <w:pPr>
        <w:ind w:left="720" w:hanging="720"/>
        <w:jc w:val="both"/>
        <w:rPr>
          <w:sz w:val="22"/>
          <w:szCs w:val="22"/>
        </w:rPr>
      </w:pPr>
      <w:r w:rsidRPr="00807E2A">
        <w:rPr>
          <w:sz w:val="22"/>
          <w:szCs w:val="22"/>
        </w:rPr>
        <w:t>If the biosolids do not meet a method of VAR, the biosolids cannot be land applied.</w:t>
      </w:r>
    </w:p>
    <w:p w:rsidR="00807E2A" w:rsidRPr="00807E2A" w:rsidRDefault="00807E2A" w:rsidP="00807E2A">
      <w:pPr>
        <w:ind w:left="720" w:hanging="720"/>
        <w:jc w:val="both"/>
        <w:rPr>
          <w:iCs/>
          <w:sz w:val="22"/>
          <w:szCs w:val="22"/>
        </w:rPr>
      </w:pPr>
    </w:p>
    <w:p w:rsidR="00807E2A" w:rsidRPr="00807E2A" w:rsidRDefault="00807E2A" w:rsidP="00807E2A">
      <w:pPr>
        <w:jc w:val="both"/>
        <w:rPr>
          <w:sz w:val="22"/>
          <w:szCs w:val="22"/>
        </w:rPr>
      </w:pPr>
      <w:r w:rsidRPr="00807E2A">
        <w:rPr>
          <w:sz w:val="22"/>
          <w:szCs w:val="22"/>
        </w:rPr>
        <w:t>If the permittee intends to use another one of the listed alternatives</w:t>
      </w:r>
      <w:r w:rsidR="003F5794">
        <w:rPr>
          <w:sz w:val="22"/>
          <w:szCs w:val="22"/>
        </w:rPr>
        <w:t xml:space="preserve"> in </w:t>
      </w:r>
      <w:r w:rsidR="003F5794" w:rsidRPr="00807E2A">
        <w:rPr>
          <w:rFonts w:cs="Times"/>
          <w:i/>
          <w:iCs/>
          <w:sz w:val="22"/>
          <w:szCs w:val="22"/>
        </w:rPr>
        <w:t>40 CFR 503.33</w:t>
      </w:r>
      <w:r w:rsidRPr="00807E2A">
        <w:rPr>
          <w:sz w:val="22"/>
          <w:szCs w:val="22"/>
        </w:rPr>
        <w:t>, the Director and the EPA must be informed at least thirty (30) days prior to its use.  This change may be made without additional public notice</w:t>
      </w:r>
    </w:p>
    <w:p w:rsidR="00807E2A" w:rsidRPr="00807E2A" w:rsidRDefault="00807E2A" w:rsidP="00807E2A">
      <w:pPr>
        <w:rPr>
          <w:sz w:val="22"/>
          <w:szCs w:val="22"/>
          <w:u w:val="single"/>
        </w:rPr>
      </w:pPr>
    </w:p>
    <w:p w:rsidR="00807E2A" w:rsidRPr="00807E2A" w:rsidRDefault="00807E2A" w:rsidP="00807E2A">
      <w:pPr>
        <w:rPr>
          <w:sz w:val="22"/>
          <w:szCs w:val="22"/>
          <w:u w:val="single"/>
        </w:rPr>
      </w:pPr>
      <w:r w:rsidRPr="00807E2A">
        <w:rPr>
          <w:sz w:val="22"/>
          <w:szCs w:val="22"/>
          <w:u w:val="single"/>
        </w:rPr>
        <w:t xml:space="preserve">Landfill Monitoring </w:t>
      </w:r>
    </w:p>
    <w:p w:rsidR="00807E2A" w:rsidRPr="00807E2A" w:rsidRDefault="00807E2A" w:rsidP="00807E2A">
      <w:pPr>
        <w:tabs>
          <w:tab w:val="left" w:pos="-1440"/>
        </w:tabs>
        <w:jc w:val="both"/>
        <w:rPr>
          <w:sz w:val="22"/>
          <w:szCs w:val="22"/>
        </w:rPr>
      </w:pPr>
      <w:r w:rsidRPr="00807E2A">
        <w:rPr>
          <w:sz w:val="22"/>
          <w:szCs w:val="22"/>
        </w:rPr>
        <w:t xml:space="preserve">Under </w:t>
      </w:r>
      <w:r w:rsidRPr="00807E2A">
        <w:rPr>
          <w:i/>
          <w:iCs/>
          <w:sz w:val="22"/>
          <w:szCs w:val="22"/>
        </w:rPr>
        <w:t>40 CFR 258,</w:t>
      </w:r>
      <w:r w:rsidRPr="00807E2A">
        <w:rPr>
          <w:sz w:val="22"/>
          <w:szCs w:val="22"/>
        </w:rPr>
        <w:t xml:space="preserve"> the landfill monitoring requirements include a paint filter test to determine if the biosolids exhibit free liquid.  If the biosolids do not pass a paint filter test, the biosolids cannot be disposed in the sanitary landfill </w:t>
      </w:r>
      <w:r w:rsidRPr="00807E2A">
        <w:rPr>
          <w:i/>
          <w:iCs/>
          <w:sz w:val="22"/>
          <w:szCs w:val="22"/>
        </w:rPr>
        <w:t>(40 CFR 258.28(c</w:t>
      </w:r>
      <w:proofErr w:type="gramStart"/>
      <w:r w:rsidRPr="00807E2A">
        <w:rPr>
          <w:i/>
          <w:iCs/>
          <w:sz w:val="22"/>
          <w:szCs w:val="22"/>
        </w:rPr>
        <w:t>)(</w:t>
      </w:r>
      <w:proofErr w:type="gramEnd"/>
      <w:r w:rsidRPr="00807E2A">
        <w:rPr>
          <w:i/>
          <w:iCs/>
          <w:sz w:val="22"/>
          <w:szCs w:val="22"/>
        </w:rPr>
        <w:t xml:space="preserve">1). </w:t>
      </w:r>
    </w:p>
    <w:p w:rsidR="00807E2A" w:rsidRPr="00807E2A" w:rsidRDefault="00807E2A" w:rsidP="00807E2A">
      <w:pPr>
        <w:keepNext/>
        <w:outlineLvl w:val="7"/>
        <w:rPr>
          <w:bCs/>
          <w:sz w:val="22"/>
          <w:szCs w:val="22"/>
          <w:u w:val="single"/>
        </w:rPr>
      </w:pPr>
    </w:p>
    <w:p w:rsidR="00807E2A" w:rsidRPr="00807E2A" w:rsidRDefault="00807E2A" w:rsidP="00807E2A">
      <w:pPr>
        <w:keepNext/>
        <w:outlineLvl w:val="7"/>
        <w:rPr>
          <w:bCs/>
          <w:sz w:val="22"/>
          <w:szCs w:val="22"/>
          <w:u w:val="single"/>
        </w:rPr>
      </w:pPr>
      <w:r w:rsidRPr="00807E2A">
        <w:rPr>
          <w:bCs/>
          <w:sz w:val="22"/>
          <w:szCs w:val="22"/>
          <w:u w:val="single"/>
        </w:rPr>
        <w:t>Record Keeping</w:t>
      </w:r>
    </w:p>
    <w:p w:rsidR="00807E2A" w:rsidRPr="00807E2A" w:rsidRDefault="00807E2A" w:rsidP="00807E2A">
      <w:pPr>
        <w:rPr>
          <w:sz w:val="22"/>
          <w:szCs w:val="22"/>
        </w:rPr>
      </w:pPr>
      <w:r w:rsidRPr="00807E2A">
        <w:rPr>
          <w:sz w:val="22"/>
          <w:szCs w:val="22"/>
        </w:rPr>
        <w:t xml:space="preserve">The record keeping requirements from </w:t>
      </w:r>
      <w:r w:rsidRPr="00807E2A">
        <w:rPr>
          <w:i/>
          <w:sz w:val="22"/>
          <w:szCs w:val="22"/>
        </w:rPr>
        <w:t>40 CFR 503.17</w:t>
      </w:r>
      <w:r w:rsidRPr="00807E2A">
        <w:rPr>
          <w:sz w:val="22"/>
          <w:szCs w:val="22"/>
        </w:rPr>
        <w:t xml:space="preserve"> </w:t>
      </w:r>
      <w:proofErr w:type="gramStart"/>
      <w:r w:rsidRPr="00807E2A">
        <w:rPr>
          <w:sz w:val="22"/>
          <w:szCs w:val="22"/>
        </w:rPr>
        <w:t>are</w:t>
      </w:r>
      <w:proofErr w:type="gramEnd"/>
      <w:r w:rsidRPr="00807E2A">
        <w:rPr>
          <w:sz w:val="22"/>
          <w:szCs w:val="22"/>
        </w:rPr>
        <w:t xml:space="preserve"> included under </w:t>
      </w:r>
      <w:r w:rsidRPr="00807E2A">
        <w:rPr>
          <w:i/>
          <w:iCs/>
          <w:sz w:val="22"/>
          <w:szCs w:val="22"/>
        </w:rPr>
        <w:t>Part III.G</w:t>
      </w:r>
      <w:r w:rsidRPr="00807E2A">
        <w:rPr>
          <w:sz w:val="22"/>
          <w:szCs w:val="22"/>
        </w:rPr>
        <w:t xml:space="preserve">. </w:t>
      </w:r>
      <w:proofErr w:type="gramStart"/>
      <w:r w:rsidRPr="00807E2A">
        <w:rPr>
          <w:sz w:val="22"/>
          <w:szCs w:val="22"/>
        </w:rPr>
        <w:t>of</w:t>
      </w:r>
      <w:proofErr w:type="gramEnd"/>
      <w:r w:rsidRPr="00807E2A">
        <w:rPr>
          <w:sz w:val="22"/>
          <w:szCs w:val="22"/>
        </w:rPr>
        <w:t xml:space="preserve"> the permit. The amount of time the records must be maintained are dependent on the quality of the biosolids in regards to the metals concentrations.  If the biosolids continue to meet the metals limits of </w:t>
      </w:r>
      <w:r w:rsidRPr="00807E2A">
        <w:rPr>
          <w:i/>
          <w:sz w:val="22"/>
          <w:szCs w:val="22"/>
        </w:rPr>
        <w:t xml:space="preserve">Table 3 </w:t>
      </w:r>
      <w:r w:rsidRPr="00807E2A">
        <w:rPr>
          <w:iCs/>
          <w:sz w:val="22"/>
          <w:szCs w:val="22"/>
        </w:rPr>
        <w:t xml:space="preserve">of </w:t>
      </w:r>
      <w:r w:rsidRPr="00807E2A">
        <w:rPr>
          <w:i/>
          <w:sz w:val="22"/>
          <w:szCs w:val="22"/>
        </w:rPr>
        <w:t>40 CFR 503.13</w:t>
      </w:r>
      <w:r w:rsidRPr="00807E2A">
        <w:rPr>
          <w:iCs/>
          <w:sz w:val="22"/>
          <w:szCs w:val="22"/>
        </w:rPr>
        <w:t xml:space="preserve">, </w:t>
      </w:r>
      <w:r w:rsidRPr="00807E2A">
        <w:rPr>
          <w:sz w:val="22"/>
          <w:szCs w:val="22"/>
        </w:rPr>
        <w:t xml:space="preserve">and are sold or given away the records must be retained for a minimum of five years. If the biosolids are disposed in a landfill the records must retained for a minimum of five years. </w:t>
      </w:r>
    </w:p>
    <w:p w:rsidR="00807E2A" w:rsidRPr="00807E2A" w:rsidRDefault="00807E2A" w:rsidP="00807E2A">
      <w:pPr>
        <w:rPr>
          <w:sz w:val="22"/>
          <w:szCs w:val="22"/>
        </w:rPr>
      </w:pPr>
    </w:p>
    <w:p w:rsidR="00807E2A" w:rsidRPr="00807E2A" w:rsidRDefault="00807E2A" w:rsidP="00807E2A">
      <w:pPr>
        <w:rPr>
          <w:sz w:val="22"/>
          <w:szCs w:val="22"/>
          <w:u w:val="single"/>
        </w:rPr>
      </w:pPr>
      <w:r w:rsidRPr="00807E2A">
        <w:rPr>
          <w:sz w:val="22"/>
          <w:szCs w:val="22"/>
          <w:u w:val="single"/>
        </w:rPr>
        <w:t>Reporting</w:t>
      </w:r>
    </w:p>
    <w:p w:rsidR="00807E2A" w:rsidRPr="00807E2A" w:rsidRDefault="00A20861" w:rsidP="00807E2A">
      <w:pPr>
        <w:rPr>
          <w:sz w:val="22"/>
          <w:szCs w:val="22"/>
        </w:rPr>
      </w:pPr>
      <w:r w:rsidRPr="00A20861">
        <w:rPr>
          <w:sz w:val="22"/>
          <w:szCs w:val="22"/>
        </w:rPr>
        <w:t>TWWTP</w:t>
      </w:r>
      <w:r>
        <w:rPr>
          <w:b/>
          <w:color w:val="FF0000"/>
          <w:sz w:val="22"/>
          <w:szCs w:val="22"/>
        </w:rPr>
        <w:t xml:space="preserve"> </w:t>
      </w:r>
      <w:r w:rsidR="00807E2A" w:rsidRPr="00807E2A">
        <w:rPr>
          <w:sz w:val="22"/>
          <w:szCs w:val="22"/>
        </w:rPr>
        <w:t xml:space="preserve">must report annually as required in </w:t>
      </w:r>
      <w:r w:rsidR="00807E2A" w:rsidRPr="00807E2A">
        <w:rPr>
          <w:i/>
          <w:sz w:val="22"/>
          <w:szCs w:val="22"/>
        </w:rPr>
        <w:t>40 CFR 503.18</w:t>
      </w:r>
      <w:r w:rsidR="00807E2A" w:rsidRPr="00807E2A">
        <w:rPr>
          <w:iCs/>
          <w:sz w:val="22"/>
          <w:szCs w:val="22"/>
        </w:rPr>
        <w:t>.</w:t>
      </w:r>
      <w:r w:rsidR="00807E2A" w:rsidRPr="00807E2A">
        <w:rPr>
          <w:sz w:val="22"/>
          <w:szCs w:val="22"/>
        </w:rPr>
        <w:t xml:space="preserve">  This report is to include the results of all monitoring performed in accordance with </w:t>
      </w:r>
      <w:r w:rsidR="00807E2A" w:rsidRPr="00807E2A">
        <w:rPr>
          <w:i/>
          <w:iCs/>
          <w:sz w:val="22"/>
          <w:szCs w:val="22"/>
        </w:rPr>
        <w:t>Part I</w:t>
      </w:r>
      <w:r w:rsidR="007E5CE8">
        <w:rPr>
          <w:i/>
          <w:iCs/>
          <w:sz w:val="22"/>
          <w:szCs w:val="22"/>
        </w:rPr>
        <w:t>I</w:t>
      </w:r>
      <w:r w:rsidR="00807E2A" w:rsidRPr="00807E2A">
        <w:rPr>
          <w:i/>
          <w:iCs/>
          <w:sz w:val="22"/>
          <w:szCs w:val="22"/>
        </w:rPr>
        <w:t>I.</w:t>
      </w:r>
      <w:r w:rsidR="007E5CE8">
        <w:rPr>
          <w:i/>
          <w:iCs/>
          <w:sz w:val="22"/>
          <w:szCs w:val="22"/>
        </w:rPr>
        <w:t>B</w:t>
      </w:r>
      <w:r w:rsidR="00807E2A" w:rsidRPr="00807E2A">
        <w:rPr>
          <w:sz w:val="22"/>
          <w:szCs w:val="22"/>
        </w:rPr>
        <w:t xml:space="preserve"> of the permit, information on management practices, biosolids treatment, and certifications. This report is due no later than February 19 of each year.  Each report is for the previous calendar year.  </w:t>
      </w:r>
    </w:p>
    <w:p w:rsidR="00807E2A" w:rsidRPr="00807E2A" w:rsidRDefault="00807E2A" w:rsidP="00807E2A">
      <w:pPr>
        <w:widowControl/>
        <w:rPr>
          <w:color w:val="000000"/>
          <w:sz w:val="22"/>
          <w:szCs w:val="22"/>
        </w:rPr>
      </w:pPr>
    </w:p>
    <w:p w:rsidR="00807E2A" w:rsidRPr="00807E2A" w:rsidRDefault="00807E2A" w:rsidP="00807E2A">
      <w:pPr>
        <w:rPr>
          <w:b/>
          <w:bCs/>
          <w:sz w:val="22"/>
          <w:szCs w:val="22"/>
        </w:rPr>
      </w:pPr>
      <w:r w:rsidRPr="00807E2A">
        <w:rPr>
          <w:b/>
          <w:bCs/>
          <w:sz w:val="22"/>
          <w:szCs w:val="22"/>
        </w:rPr>
        <w:t xml:space="preserve">MONITORING DATA </w:t>
      </w:r>
    </w:p>
    <w:p w:rsidR="00807E2A" w:rsidRPr="00807E2A" w:rsidRDefault="00807E2A" w:rsidP="00807E2A">
      <w:pPr>
        <w:rPr>
          <w:iCs/>
          <w:sz w:val="22"/>
          <w:szCs w:val="22"/>
          <w:u w:val="single"/>
        </w:rPr>
      </w:pPr>
    </w:p>
    <w:p w:rsidR="00807E2A" w:rsidRPr="00807E2A" w:rsidRDefault="00807E2A" w:rsidP="00807E2A">
      <w:pPr>
        <w:keepNext/>
        <w:widowControl/>
        <w:jc w:val="both"/>
        <w:outlineLvl w:val="4"/>
        <w:rPr>
          <w:bCs/>
          <w:sz w:val="22"/>
          <w:szCs w:val="22"/>
        </w:rPr>
      </w:pPr>
      <w:r w:rsidRPr="00807E2A">
        <w:rPr>
          <w:bCs/>
          <w:sz w:val="22"/>
          <w:szCs w:val="22"/>
        </w:rPr>
        <w:t>METALS MONITORING DATA</w:t>
      </w:r>
    </w:p>
    <w:p w:rsidR="00807E2A" w:rsidRPr="00807E2A" w:rsidRDefault="00A20861" w:rsidP="00807E2A">
      <w:pPr>
        <w:rPr>
          <w:sz w:val="22"/>
          <w:szCs w:val="22"/>
        </w:rPr>
      </w:pPr>
      <w:r w:rsidRPr="003074F5">
        <w:rPr>
          <w:sz w:val="22"/>
          <w:szCs w:val="22"/>
        </w:rPr>
        <w:t>The TWWTP</w:t>
      </w:r>
      <w:r w:rsidR="003F5794" w:rsidRPr="003074F5">
        <w:rPr>
          <w:color w:val="FF0000"/>
          <w:sz w:val="22"/>
          <w:szCs w:val="22"/>
        </w:rPr>
        <w:t xml:space="preserve"> </w:t>
      </w:r>
      <w:r w:rsidR="00807E2A" w:rsidRPr="003074F5">
        <w:rPr>
          <w:sz w:val="22"/>
          <w:szCs w:val="22"/>
        </w:rPr>
        <w:t xml:space="preserve">was required to sample for metals at least </w:t>
      </w:r>
      <w:r w:rsidR="003074F5" w:rsidRPr="003074F5">
        <w:rPr>
          <w:sz w:val="22"/>
          <w:szCs w:val="22"/>
        </w:rPr>
        <w:t xml:space="preserve">four </w:t>
      </w:r>
      <w:r w:rsidR="00807E2A" w:rsidRPr="003074F5">
        <w:rPr>
          <w:sz w:val="22"/>
          <w:szCs w:val="22"/>
        </w:rPr>
        <w:t xml:space="preserve">times in </w:t>
      </w:r>
      <w:r w:rsidR="003074F5" w:rsidRPr="003074F5">
        <w:rPr>
          <w:sz w:val="22"/>
          <w:szCs w:val="22"/>
        </w:rPr>
        <w:t>2017</w:t>
      </w:r>
      <w:r w:rsidRPr="003074F5">
        <w:rPr>
          <w:sz w:val="22"/>
          <w:szCs w:val="22"/>
        </w:rPr>
        <w:t>.  TWWTP</w:t>
      </w:r>
      <w:r w:rsidR="003F5794" w:rsidRPr="003074F5">
        <w:rPr>
          <w:color w:val="FF0000"/>
          <w:sz w:val="22"/>
          <w:szCs w:val="22"/>
        </w:rPr>
        <w:t xml:space="preserve"> </w:t>
      </w:r>
      <w:r w:rsidR="00807E2A" w:rsidRPr="003074F5">
        <w:rPr>
          <w:sz w:val="22"/>
          <w:szCs w:val="22"/>
        </w:rPr>
        <w:t xml:space="preserve">sampled the </w:t>
      </w:r>
      <w:r w:rsidR="003074F5">
        <w:rPr>
          <w:sz w:val="22"/>
          <w:szCs w:val="22"/>
        </w:rPr>
        <w:t>biosolids four</w:t>
      </w:r>
      <w:r w:rsidR="003F5794" w:rsidRPr="003074F5">
        <w:rPr>
          <w:color w:val="FF0000"/>
          <w:sz w:val="22"/>
          <w:szCs w:val="22"/>
        </w:rPr>
        <w:t xml:space="preserve"> </w:t>
      </w:r>
      <w:r w:rsidR="00807E2A" w:rsidRPr="003074F5">
        <w:rPr>
          <w:sz w:val="22"/>
          <w:szCs w:val="22"/>
        </w:rPr>
        <w:t xml:space="preserve">times. All biosolids land applied in </w:t>
      </w:r>
      <w:r w:rsidR="003074F5">
        <w:rPr>
          <w:sz w:val="22"/>
          <w:szCs w:val="22"/>
        </w:rPr>
        <w:t xml:space="preserve">2017 </w:t>
      </w:r>
      <w:r w:rsidR="00807E2A" w:rsidRPr="003074F5">
        <w:rPr>
          <w:sz w:val="22"/>
          <w:szCs w:val="22"/>
        </w:rPr>
        <w:t xml:space="preserve">met </w:t>
      </w:r>
      <w:r w:rsidR="00807E2A" w:rsidRPr="003074F5">
        <w:rPr>
          <w:i/>
          <w:sz w:val="22"/>
          <w:szCs w:val="22"/>
        </w:rPr>
        <w:t>Table 3</w:t>
      </w:r>
      <w:r w:rsidR="00807E2A" w:rsidRPr="00807E2A">
        <w:rPr>
          <w:sz w:val="22"/>
          <w:szCs w:val="22"/>
        </w:rPr>
        <w:t xml:space="preserve"> of </w:t>
      </w:r>
      <w:r w:rsidR="00807E2A" w:rsidRPr="00807E2A">
        <w:rPr>
          <w:i/>
          <w:iCs/>
          <w:sz w:val="22"/>
          <w:szCs w:val="22"/>
        </w:rPr>
        <w:t xml:space="preserve">40 CFR </w:t>
      </w:r>
      <w:proofErr w:type="gramStart"/>
      <w:r w:rsidR="00807E2A" w:rsidRPr="00807E2A">
        <w:rPr>
          <w:i/>
          <w:iCs/>
          <w:sz w:val="22"/>
          <w:szCs w:val="22"/>
        </w:rPr>
        <w:t>503.13,</w:t>
      </w:r>
      <w:proofErr w:type="gramEnd"/>
      <w:r>
        <w:rPr>
          <w:sz w:val="22"/>
          <w:szCs w:val="22"/>
        </w:rPr>
        <w:t xml:space="preserve"> therefore the TWWTP</w:t>
      </w:r>
      <w:r w:rsidR="003F5794" w:rsidRPr="006B1AD6">
        <w:rPr>
          <w:color w:val="FF0000"/>
          <w:sz w:val="22"/>
          <w:szCs w:val="22"/>
        </w:rPr>
        <w:t xml:space="preserve"> </w:t>
      </w:r>
      <w:r w:rsidR="00807E2A" w:rsidRPr="00807E2A">
        <w:rPr>
          <w:sz w:val="22"/>
          <w:szCs w:val="22"/>
        </w:rPr>
        <w:t>biosolids qualify as EQ with regards to metals. The monitoring data is below.</w:t>
      </w:r>
    </w:p>
    <w:p w:rsidR="00807E2A" w:rsidRPr="00807E2A" w:rsidRDefault="00807E2A" w:rsidP="00807E2A">
      <w:pPr>
        <w:widowControl/>
        <w:rPr>
          <w:color w:val="000000"/>
          <w:sz w:val="22"/>
          <w:szCs w:val="22"/>
        </w:rPr>
      </w:pPr>
    </w:p>
    <w:p w:rsidR="00807E2A" w:rsidRDefault="00A20861" w:rsidP="00807E2A">
      <w:pPr>
        <w:rPr>
          <w:color w:val="FF0000"/>
          <w:sz w:val="22"/>
          <w:szCs w:val="22"/>
        </w:rPr>
      </w:pPr>
      <w:r w:rsidRPr="00A20861">
        <w:rPr>
          <w:sz w:val="22"/>
          <w:szCs w:val="22"/>
        </w:rPr>
        <w:t>TWWTP</w:t>
      </w:r>
      <w:r w:rsidR="00807E2A" w:rsidRPr="00A20861">
        <w:rPr>
          <w:sz w:val="22"/>
          <w:szCs w:val="22"/>
        </w:rPr>
        <w:t xml:space="preserve"> </w:t>
      </w:r>
      <w:r w:rsidR="00807E2A" w:rsidRPr="00807E2A">
        <w:rPr>
          <w:sz w:val="22"/>
          <w:szCs w:val="22"/>
        </w:rPr>
        <w:t xml:space="preserve">Metals Monitoring Data </w:t>
      </w:r>
      <w:r w:rsidR="003074F5">
        <w:rPr>
          <w:sz w:val="22"/>
          <w:szCs w:val="22"/>
        </w:rPr>
        <w:t>2017</w:t>
      </w:r>
    </w:p>
    <w:p w:rsidR="00F964D1" w:rsidRPr="00807E2A" w:rsidRDefault="00F964D1" w:rsidP="00807E2A">
      <w:pPr>
        <w:rPr>
          <w:sz w:val="22"/>
          <w:szCs w:val="22"/>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324"/>
        <w:gridCol w:w="2432"/>
        <w:gridCol w:w="2432"/>
        <w:gridCol w:w="2352"/>
      </w:tblGrid>
      <w:tr w:rsidR="00807E2A" w:rsidRPr="003074F5" w:rsidTr="003074F5">
        <w:trPr>
          <w:cantSplit/>
          <w:trHeight w:val="144"/>
          <w:tblHeader/>
          <w:jc w:val="center"/>
        </w:trPr>
        <w:tc>
          <w:tcPr>
            <w:tcW w:w="9540" w:type="dxa"/>
            <w:gridSpan w:val="4"/>
            <w:shd w:val="clear" w:color="auto" w:fill="auto"/>
            <w:vAlign w:val="bottom"/>
          </w:tcPr>
          <w:p w:rsidR="00807E2A" w:rsidRPr="003074F5" w:rsidRDefault="003074F5" w:rsidP="003074F5">
            <w:pPr>
              <w:keepNext/>
              <w:contextualSpacing/>
              <w:jc w:val="center"/>
              <w:outlineLvl w:val="1"/>
              <w:rPr>
                <w:bCs/>
                <w:sz w:val="22"/>
                <w:szCs w:val="22"/>
              </w:rPr>
            </w:pPr>
            <w:r>
              <w:rPr>
                <w:sz w:val="22"/>
                <w:szCs w:val="22"/>
              </w:rPr>
              <w:t>TWWTP</w:t>
            </w:r>
            <w:r w:rsidR="00807E2A" w:rsidRPr="003074F5">
              <w:rPr>
                <w:sz w:val="22"/>
                <w:szCs w:val="22"/>
              </w:rPr>
              <w:t xml:space="preserve"> </w:t>
            </w:r>
            <w:r w:rsidR="00807E2A" w:rsidRPr="003074F5">
              <w:rPr>
                <w:bCs/>
                <w:sz w:val="22"/>
                <w:szCs w:val="22"/>
              </w:rPr>
              <w:t xml:space="preserve">Metals Monitoring Data, </w:t>
            </w:r>
            <w:r>
              <w:rPr>
                <w:bCs/>
                <w:sz w:val="22"/>
                <w:szCs w:val="22"/>
              </w:rPr>
              <w:t>2017</w:t>
            </w:r>
          </w:p>
        </w:tc>
      </w:tr>
      <w:tr w:rsidR="00807E2A" w:rsidRPr="003074F5" w:rsidTr="003074F5">
        <w:trPr>
          <w:cantSplit/>
          <w:trHeight w:val="144"/>
          <w:tblHeader/>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Parameter</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Table 3, mg/kg</w:t>
            </w:r>
          </w:p>
          <w:p w:rsidR="00807E2A" w:rsidRPr="003074F5" w:rsidRDefault="00807E2A" w:rsidP="003074F5">
            <w:pPr>
              <w:contextualSpacing/>
              <w:jc w:val="center"/>
              <w:rPr>
                <w:sz w:val="22"/>
                <w:szCs w:val="22"/>
              </w:rPr>
            </w:pPr>
            <w:r w:rsidRPr="003074F5">
              <w:rPr>
                <w:sz w:val="22"/>
                <w:szCs w:val="22"/>
              </w:rPr>
              <w:t>(Exceptional Quality)</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Average, mg/kg</w:t>
            </w:r>
          </w:p>
        </w:tc>
        <w:tc>
          <w:tcPr>
            <w:tcW w:w="2352" w:type="dxa"/>
            <w:shd w:val="clear" w:color="auto" w:fill="auto"/>
            <w:vAlign w:val="bottom"/>
          </w:tcPr>
          <w:p w:rsidR="00807E2A" w:rsidRPr="003074F5" w:rsidRDefault="00807E2A" w:rsidP="003074F5">
            <w:pPr>
              <w:contextualSpacing/>
              <w:jc w:val="center"/>
              <w:rPr>
                <w:sz w:val="22"/>
                <w:szCs w:val="22"/>
              </w:rPr>
            </w:pPr>
            <w:r w:rsidRPr="003074F5">
              <w:rPr>
                <w:sz w:val="22"/>
                <w:szCs w:val="22"/>
              </w:rPr>
              <w:t>Maximum, mg/kg</w:t>
            </w:r>
          </w:p>
        </w:tc>
      </w:tr>
      <w:tr w:rsidR="00807E2A" w:rsidRPr="003074F5" w:rsidTr="003074F5">
        <w:trPr>
          <w:cantSplit/>
          <w:trHeight w:val="144"/>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Arsenic</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41.0</w:t>
            </w:r>
          </w:p>
        </w:tc>
        <w:tc>
          <w:tcPr>
            <w:tcW w:w="2432" w:type="dxa"/>
            <w:shd w:val="clear" w:color="auto" w:fill="auto"/>
            <w:vAlign w:val="bottom"/>
          </w:tcPr>
          <w:p w:rsidR="00807E2A" w:rsidRPr="003074F5" w:rsidRDefault="003074F5" w:rsidP="003074F5">
            <w:pPr>
              <w:tabs>
                <w:tab w:val="left" w:pos="323"/>
                <w:tab w:val="left" w:pos="588"/>
              </w:tabs>
              <w:contextualSpacing/>
              <w:jc w:val="center"/>
              <w:rPr>
                <w:sz w:val="22"/>
                <w:szCs w:val="22"/>
              </w:rPr>
            </w:pPr>
            <w:r w:rsidRPr="003074F5">
              <w:rPr>
                <w:sz w:val="22"/>
                <w:szCs w:val="22"/>
              </w:rPr>
              <w:t>17.65</w:t>
            </w:r>
          </w:p>
        </w:tc>
        <w:tc>
          <w:tcPr>
            <w:tcW w:w="2352" w:type="dxa"/>
            <w:shd w:val="clear" w:color="auto" w:fill="auto"/>
            <w:vAlign w:val="bottom"/>
          </w:tcPr>
          <w:p w:rsidR="00807E2A" w:rsidRPr="003074F5" w:rsidRDefault="003074F5" w:rsidP="003074F5">
            <w:pPr>
              <w:contextualSpacing/>
              <w:jc w:val="center"/>
              <w:rPr>
                <w:sz w:val="22"/>
                <w:szCs w:val="22"/>
              </w:rPr>
            </w:pPr>
            <w:r w:rsidRPr="003074F5">
              <w:rPr>
                <w:sz w:val="22"/>
                <w:szCs w:val="22"/>
              </w:rPr>
              <w:t>25.60</w:t>
            </w:r>
          </w:p>
        </w:tc>
      </w:tr>
      <w:tr w:rsidR="00807E2A" w:rsidRPr="003074F5" w:rsidTr="003074F5">
        <w:trPr>
          <w:cantSplit/>
          <w:trHeight w:val="144"/>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Cadmium</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39.0</w:t>
            </w:r>
          </w:p>
        </w:tc>
        <w:tc>
          <w:tcPr>
            <w:tcW w:w="2432" w:type="dxa"/>
            <w:shd w:val="clear" w:color="auto" w:fill="auto"/>
            <w:vAlign w:val="bottom"/>
          </w:tcPr>
          <w:p w:rsidR="00807E2A" w:rsidRPr="003074F5" w:rsidRDefault="003074F5" w:rsidP="003074F5">
            <w:pPr>
              <w:contextualSpacing/>
              <w:jc w:val="center"/>
              <w:rPr>
                <w:sz w:val="22"/>
                <w:szCs w:val="22"/>
              </w:rPr>
            </w:pPr>
            <w:r w:rsidRPr="003074F5">
              <w:rPr>
                <w:sz w:val="22"/>
                <w:szCs w:val="22"/>
              </w:rPr>
              <w:t>0.3</w:t>
            </w:r>
          </w:p>
        </w:tc>
        <w:tc>
          <w:tcPr>
            <w:tcW w:w="2352" w:type="dxa"/>
            <w:shd w:val="clear" w:color="auto" w:fill="auto"/>
            <w:vAlign w:val="bottom"/>
          </w:tcPr>
          <w:p w:rsidR="00807E2A" w:rsidRPr="003074F5" w:rsidRDefault="003074F5" w:rsidP="003074F5">
            <w:pPr>
              <w:contextualSpacing/>
              <w:jc w:val="center"/>
              <w:rPr>
                <w:sz w:val="22"/>
                <w:szCs w:val="22"/>
              </w:rPr>
            </w:pPr>
            <w:r w:rsidRPr="003074F5">
              <w:rPr>
                <w:sz w:val="22"/>
                <w:szCs w:val="22"/>
              </w:rPr>
              <w:t>0.42</w:t>
            </w:r>
          </w:p>
        </w:tc>
      </w:tr>
      <w:tr w:rsidR="00807E2A" w:rsidRPr="003074F5" w:rsidTr="003074F5">
        <w:trPr>
          <w:cantSplit/>
          <w:trHeight w:val="144"/>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Copper</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1,500.0</w:t>
            </w:r>
          </w:p>
        </w:tc>
        <w:tc>
          <w:tcPr>
            <w:tcW w:w="2432" w:type="dxa"/>
            <w:shd w:val="clear" w:color="auto" w:fill="auto"/>
            <w:vAlign w:val="bottom"/>
          </w:tcPr>
          <w:p w:rsidR="00807E2A" w:rsidRPr="003074F5" w:rsidRDefault="003074F5" w:rsidP="003074F5">
            <w:pPr>
              <w:contextualSpacing/>
              <w:jc w:val="center"/>
              <w:rPr>
                <w:sz w:val="22"/>
                <w:szCs w:val="22"/>
              </w:rPr>
            </w:pPr>
            <w:r w:rsidRPr="003074F5">
              <w:rPr>
                <w:sz w:val="22"/>
                <w:szCs w:val="22"/>
              </w:rPr>
              <w:t>244.5</w:t>
            </w:r>
          </w:p>
        </w:tc>
        <w:tc>
          <w:tcPr>
            <w:tcW w:w="2352" w:type="dxa"/>
            <w:shd w:val="clear" w:color="auto" w:fill="auto"/>
            <w:vAlign w:val="bottom"/>
          </w:tcPr>
          <w:p w:rsidR="00807E2A" w:rsidRPr="003074F5" w:rsidRDefault="003074F5" w:rsidP="003074F5">
            <w:pPr>
              <w:contextualSpacing/>
              <w:jc w:val="center"/>
              <w:rPr>
                <w:sz w:val="22"/>
                <w:szCs w:val="22"/>
              </w:rPr>
            </w:pPr>
            <w:r w:rsidRPr="003074F5">
              <w:rPr>
                <w:sz w:val="22"/>
                <w:szCs w:val="22"/>
              </w:rPr>
              <w:t>321</w:t>
            </w:r>
          </w:p>
        </w:tc>
      </w:tr>
      <w:tr w:rsidR="00807E2A" w:rsidRPr="003074F5" w:rsidTr="003074F5">
        <w:trPr>
          <w:cantSplit/>
          <w:trHeight w:val="144"/>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Lead</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300.0</w:t>
            </w:r>
          </w:p>
        </w:tc>
        <w:tc>
          <w:tcPr>
            <w:tcW w:w="2432" w:type="dxa"/>
            <w:shd w:val="clear" w:color="auto" w:fill="auto"/>
            <w:vAlign w:val="bottom"/>
          </w:tcPr>
          <w:p w:rsidR="00807E2A" w:rsidRPr="003074F5" w:rsidRDefault="003074F5" w:rsidP="003074F5">
            <w:pPr>
              <w:contextualSpacing/>
              <w:jc w:val="center"/>
              <w:rPr>
                <w:sz w:val="22"/>
                <w:szCs w:val="22"/>
              </w:rPr>
            </w:pPr>
            <w:r w:rsidRPr="003074F5">
              <w:rPr>
                <w:sz w:val="22"/>
                <w:szCs w:val="22"/>
              </w:rPr>
              <w:t>6.84</w:t>
            </w:r>
          </w:p>
        </w:tc>
        <w:tc>
          <w:tcPr>
            <w:tcW w:w="2352" w:type="dxa"/>
            <w:shd w:val="clear" w:color="auto" w:fill="auto"/>
            <w:vAlign w:val="bottom"/>
          </w:tcPr>
          <w:p w:rsidR="00807E2A" w:rsidRPr="003074F5" w:rsidRDefault="003074F5" w:rsidP="003074F5">
            <w:pPr>
              <w:contextualSpacing/>
              <w:jc w:val="center"/>
              <w:rPr>
                <w:sz w:val="22"/>
                <w:szCs w:val="22"/>
              </w:rPr>
            </w:pPr>
            <w:r w:rsidRPr="003074F5">
              <w:rPr>
                <w:sz w:val="22"/>
                <w:szCs w:val="22"/>
              </w:rPr>
              <w:t>9.33</w:t>
            </w:r>
          </w:p>
        </w:tc>
      </w:tr>
      <w:tr w:rsidR="00807E2A" w:rsidRPr="003074F5" w:rsidTr="003074F5">
        <w:trPr>
          <w:cantSplit/>
          <w:trHeight w:val="144"/>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Mercury</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17.0</w:t>
            </w:r>
          </w:p>
        </w:tc>
        <w:tc>
          <w:tcPr>
            <w:tcW w:w="2432" w:type="dxa"/>
            <w:shd w:val="clear" w:color="auto" w:fill="auto"/>
            <w:vAlign w:val="bottom"/>
          </w:tcPr>
          <w:p w:rsidR="00807E2A" w:rsidRPr="003074F5" w:rsidRDefault="003074F5" w:rsidP="003074F5">
            <w:pPr>
              <w:contextualSpacing/>
              <w:jc w:val="center"/>
              <w:rPr>
                <w:sz w:val="22"/>
                <w:szCs w:val="22"/>
              </w:rPr>
            </w:pPr>
            <w:r w:rsidRPr="003074F5">
              <w:rPr>
                <w:sz w:val="22"/>
                <w:szCs w:val="22"/>
              </w:rPr>
              <w:t>1.1</w:t>
            </w:r>
          </w:p>
        </w:tc>
        <w:tc>
          <w:tcPr>
            <w:tcW w:w="2352" w:type="dxa"/>
            <w:shd w:val="clear" w:color="auto" w:fill="auto"/>
            <w:vAlign w:val="bottom"/>
          </w:tcPr>
          <w:p w:rsidR="00807E2A" w:rsidRPr="003074F5" w:rsidRDefault="003074F5" w:rsidP="003074F5">
            <w:pPr>
              <w:contextualSpacing/>
              <w:jc w:val="center"/>
              <w:rPr>
                <w:sz w:val="22"/>
                <w:szCs w:val="22"/>
              </w:rPr>
            </w:pPr>
            <w:r w:rsidRPr="003074F5">
              <w:rPr>
                <w:sz w:val="22"/>
                <w:szCs w:val="22"/>
              </w:rPr>
              <w:t>3.1</w:t>
            </w:r>
          </w:p>
        </w:tc>
      </w:tr>
      <w:tr w:rsidR="00807E2A" w:rsidRPr="003074F5" w:rsidTr="003074F5">
        <w:trPr>
          <w:cantSplit/>
          <w:trHeight w:val="144"/>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Molybdenum</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75.0</w:t>
            </w:r>
          </w:p>
        </w:tc>
        <w:tc>
          <w:tcPr>
            <w:tcW w:w="2432" w:type="dxa"/>
            <w:shd w:val="clear" w:color="auto" w:fill="auto"/>
            <w:vAlign w:val="bottom"/>
          </w:tcPr>
          <w:p w:rsidR="00807E2A" w:rsidRPr="003074F5" w:rsidRDefault="003074F5" w:rsidP="003074F5">
            <w:pPr>
              <w:contextualSpacing/>
              <w:jc w:val="center"/>
              <w:rPr>
                <w:sz w:val="22"/>
                <w:szCs w:val="22"/>
              </w:rPr>
            </w:pPr>
            <w:r w:rsidRPr="003074F5">
              <w:rPr>
                <w:sz w:val="22"/>
                <w:szCs w:val="22"/>
              </w:rPr>
              <w:t>10.72</w:t>
            </w:r>
          </w:p>
        </w:tc>
        <w:tc>
          <w:tcPr>
            <w:tcW w:w="2352" w:type="dxa"/>
            <w:shd w:val="clear" w:color="auto" w:fill="auto"/>
            <w:vAlign w:val="bottom"/>
          </w:tcPr>
          <w:p w:rsidR="00807E2A" w:rsidRPr="003074F5" w:rsidRDefault="003074F5" w:rsidP="003074F5">
            <w:pPr>
              <w:contextualSpacing/>
              <w:jc w:val="center"/>
              <w:rPr>
                <w:sz w:val="22"/>
                <w:szCs w:val="22"/>
              </w:rPr>
            </w:pPr>
            <w:r w:rsidRPr="003074F5">
              <w:rPr>
                <w:sz w:val="22"/>
                <w:szCs w:val="22"/>
              </w:rPr>
              <w:t>13.9</w:t>
            </w:r>
          </w:p>
        </w:tc>
      </w:tr>
      <w:tr w:rsidR="00807E2A" w:rsidRPr="003074F5" w:rsidTr="003074F5">
        <w:trPr>
          <w:cantSplit/>
          <w:trHeight w:val="144"/>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Nickel</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400.0</w:t>
            </w:r>
          </w:p>
        </w:tc>
        <w:tc>
          <w:tcPr>
            <w:tcW w:w="2432" w:type="dxa"/>
            <w:shd w:val="clear" w:color="auto" w:fill="auto"/>
            <w:vAlign w:val="bottom"/>
          </w:tcPr>
          <w:p w:rsidR="00807E2A" w:rsidRPr="003074F5" w:rsidRDefault="003074F5" w:rsidP="003074F5">
            <w:pPr>
              <w:contextualSpacing/>
              <w:jc w:val="center"/>
              <w:rPr>
                <w:sz w:val="22"/>
                <w:szCs w:val="22"/>
              </w:rPr>
            </w:pPr>
            <w:r w:rsidRPr="003074F5">
              <w:rPr>
                <w:sz w:val="22"/>
                <w:szCs w:val="22"/>
              </w:rPr>
              <w:t>21.92</w:t>
            </w:r>
          </w:p>
        </w:tc>
        <w:tc>
          <w:tcPr>
            <w:tcW w:w="2352" w:type="dxa"/>
            <w:shd w:val="clear" w:color="auto" w:fill="auto"/>
            <w:vAlign w:val="bottom"/>
          </w:tcPr>
          <w:p w:rsidR="00807E2A" w:rsidRPr="003074F5" w:rsidRDefault="003074F5" w:rsidP="003074F5">
            <w:pPr>
              <w:contextualSpacing/>
              <w:jc w:val="center"/>
              <w:rPr>
                <w:sz w:val="22"/>
                <w:szCs w:val="22"/>
              </w:rPr>
            </w:pPr>
            <w:r w:rsidRPr="003074F5">
              <w:rPr>
                <w:sz w:val="22"/>
                <w:szCs w:val="22"/>
              </w:rPr>
              <w:t>29.90</w:t>
            </w:r>
          </w:p>
        </w:tc>
      </w:tr>
      <w:tr w:rsidR="00807E2A" w:rsidRPr="003074F5" w:rsidTr="003074F5">
        <w:trPr>
          <w:cantSplit/>
          <w:trHeight w:val="144"/>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Selenium</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36.0</w:t>
            </w:r>
          </w:p>
        </w:tc>
        <w:tc>
          <w:tcPr>
            <w:tcW w:w="2432" w:type="dxa"/>
            <w:shd w:val="clear" w:color="auto" w:fill="auto"/>
            <w:vAlign w:val="bottom"/>
          </w:tcPr>
          <w:p w:rsidR="00807E2A" w:rsidRPr="003074F5" w:rsidRDefault="003074F5" w:rsidP="003074F5">
            <w:pPr>
              <w:contextualSpacing/>
              <w:jc w:val="center"/>
              <w:rPr>
                <w:sz w:val="22"/>
                <w:szCs w:val="22"/>
              </w:rPr>
            </w:pPr>
            <w:r w:rsidRPr="003074F5">
              <w:rPr>
                <w:sz w:val="22"/>
                <w:szCs w:val="22"/>
              </w:rPr>
              <w:t>7.12</w:t>
            </w:r>
          </w:p>
        </w:tc>
        <w:tc>
          <w:tcPr>
            <w:tcW w:w="2352" w:type="dxa"/>
            <w:shd w:val="clear" w:color="auto" w:fill="auto"/>
            <w:vAlign w:val="bottom"/>
          </w:tcPr>
          <w:p w:rsidR="00807E2A" w:rsidRPr="003074F5" w:rsidRDefault="003074F5" w:rsidP="003074F5">
            <w:pPr>
              <w:contextualSpacing/>
              <w:jc w:val="center"/>
              <w:rPr>
                <w:sz w:val="22"/>
                <w:szCs w:val="22"/>
              </w:rPr>
            </w:pPr>
            <w:r w:rsidRPr="003074F5">
              <w:rPr>
                <w:sz w:val="22"/>
                <w:szCs w:val="22"/>
              </w:rPr>
              <w:t>11.8</w:t>
            </w:r>
          </w:p>
        </w:tc>
      </w:tr>
      <w:tr w:rsidR="00807E2A" w:rsidRPr="003074F5" w:rsidTr="003074F5">
        <w:trPr>
          <w:cantSplit/>
          <w:trHeight w:val="144"/>
          <w:jc w:val="center"/>
        </w:trPr>
        <w:tc>
          <w:tcPr>
            <w:tcW w:w="2324" w:type="dxa"/>
            <w:shd w:val="clear" w:color="auto" w:fill="auto"/>
            <w:vAlign w:val="bottom"/>
          </w:tcPr>
          <w:p w:rsidR="00807E2A" w:rsidRPr="003074F5" w:rsidRDefault="00807E2A" w:rsidP="003074F5">
            <w:pPr>
              <w:contextualSpacing/>
              <w:jc w:val="center"/>
              <w:rPr>
                <w:sz w:val="22"/>
                <w:szCs w:val="22"/>
              </w:rPr>
            </w:pPr>
            <w:r w:rsidRPr="003074F5">
              <w:rPr>
                <w:sz w:val="22"/>
                <w:szCs w:val="22"/>
              </w:rPr>
              <w:t>Zinc</w:t>
            </w:r>
          </w:p>
        </w:tc>
        <w:tc>
          <w:tcPr>
            <w:tcW w:w="2432" w:type="dxa"/>
            <w:shd w:val="clear" w:color="auto" w:fill="auto"/>
            <w:vAlign w:val="bottom"/>
          </w:tcPr>
          <w:p w:rsidR="00807E2A" w:rsidRPr="003074F5" w:rsidRDefault="00807E2A" w:rsidP="003074F5">
            <w:pPr>
              <w:contextualSpacing/>
              <w:jc w:val="center"/>
              <w:rPr>
                <w:sz w:val="22"/>
                <w:szCs w:val="22"/>
              </w:rPr>
            </w:pPr>
            <w:r w:rsidRPr="003074F5">
              <w:rPr>
                <w:sz w:val="22"/>
                <w:szCs w:val="22"/>
              </w:rPr>
              <w:t>2,800.0</w:t>
            </w:r>
          </w:p>
        </w:tc>
        <w:tc>
          <w:tcPr>
            <w:tcW w:w="2432" w:type="dxa"/>
            <w:shd w:val="clear" w:color="auto" w:fill="auto"/>
            <w:vAlign w:val="bottom"/>
          </w:tcPr>
          <w:p w:rsidR="00807E2A" w:rsidRPr="003074F5" w:rsidRDefault="003074F5" w:rsidP="003074F5">
            <w:pPr>
              <w:contextualSpacing/>
              <w:jc w:val="center"/>
              <w:rPr>
                <w:sz w:val="22"/>
                <w:szCs w:val="22"/>
              </w:rPr>
            </w:pPr>
            <w:r w:rsidRPr="003074F5">
              <w:rPr>
                <w:sz w:val="22"/>
                <w:szCs w:val="22"/>
              </w:rPr>
              <w:t>416.75</w:t>
            </w:r>
          </w:p>
        </w:tc>
        <w:tc>
          <w:tcPr>
            <w:tcW w:w="2352" w:type="dxa"/>
            <w:shd w:val="clear" w:color="auto" w:fill="auto"/>
            <w:vAlign w:val="bottom"/>
          </w:tcPr>
          <w:p w:rsidR="00807E2A" w:rsidRPr="003074F5" w:rsidRDefault="003074F5" w:rsidP="003074F5">
            <w:pPr>
              <w:contextualSpacing/>
              <w:jc w:val="center"/>
              <w:rPr>
                <w:sz w:val="22"/>
                <w:szCs w:val="22"/>
              </w:rPr>
            </w:pPr>
            <w:r w:rsidRPr="003074F5">
              <w:rPr>
                <w:sz w:val="22"/>
                <w:szCs w:val="22"/>
              </w:rPr>
              <w:t>550</w:t>
            </w:r>
          </w:p>
        </w:tc>
      </w:tr>
    </w:tbl>
    <w:p w:rsidR="00807E2A" w:rsidRPr="00807E2A" w:rsidRDefault="00807E2A" w:rsidP="00807E2A">
      <w:pPr>
        <w:rPr>
          <w:sz w:val="22"/>
          <w:szCs w:val="22"/>
        </w:rPr>
      </w:pPr>
    </w:p>
    <w:p w:rsidR="00807E2A" w:rsidRPr="00807E2A" w:rsidRDefault="00807E2A" w:rsidP="00807E2A">
      <w:pPr>
        <w:rPr>
          <w:b/>
          <w:sz w:val="22"/>
          <w:szCs w:val="22"/>
          <w:u w:val="single"/>
        </w:rPr>
      </w:pPr>
      <w:r w:rsidRPr="00807E2A">
        <w:rPr>
          <w:b/>
          <w:sz w:val="22"/>
          <w:szCs w:val="22"/>
          <w:u w:val="single"/>
        </w:rPr>
        <w:t>PATHOGEN MONITORING DATA (Compost)</w:t>
      </w:r>
    </w:p>
    <w:p w:rsidR="00807E2A" w:rsidRPr="00807E2A" w:rsidRDefault="00807E2A" w:rsidP="00807E2A">
      <w:pPr>
        <w:rPr>
          <w:sz w:val="22"/>
          <w:szCs w:val="22"/>
        </w:rPr>
      </w:pPr>
      <w:r w:rsidRPr="00807E2A">
        <w:rPr>
          <w:sz w:val="22"/>
          <w:szCs w:val="22"/>
        </w:rPr>
        <w:t xml:space="preserve">The </w:t>
      </w:r>
      <w:r w:rsidR="003074F5">
        <w:rPr>
          <w:sz w:val="22"/>
          <w:szCs w:val="22"/>
        </w:rPr>
        <w:t>TWWTP</w:t>
      </w:r>
      <w:r w:rsidR="003074F5" w:rsidRPr="00807E2A">
        <w:rPr>
          <w:color w:val="FF0000"/>
          <w:sz w:val="22"/>
          <w:szCs w:val="22"/>
        </w:rPr>
        <w:t xml:space="preserve"> </w:t>
      </w:r>
      <w:r w:rsidRPr="00807E2A">
        <w:rPr>
          <w:sz w:val="22"/>
          <w:szCs w:val="22"/>
        </w:rPr>
        <w:t xml:space="preserve">was required to monitor the composted biosolids for pathogens at least </w:t>
      </w:r>
      <w:r w:rsidR="003074F5">
        <w:rPr>
          <w:sz w:val="22"/>
          <w:szCs w:val="22"/>
        </w:rPr>
        <w:t>four</w:t>
      </w:r>
      <w:r w:rsidRPr="00807E2A">
        <w:rPr>
          <w:sz w:val="22"/>
          <w:szCs w:val="22"/>
        </w:rPr>
        <w:t xml:space="preserve"> times in 201</w:t>
      </w:r>
      <w:r w:rsidR="003074F5">
        <w:rPr>
          <w:sz w:val="22"/>
          <w:szCs w:val="22"/>
        </w:rPr>
        <w:t>7</w:t>
      </w:r>
      <w:r w:rsidRPr="00807E2A">
        <w:rPr>
          <w:sz w:val="22"/>
          <w:szCs w:val="22"/>
        </w:rPr>
        <w:t xml:space="preserve"> The </w:t>
      </w:r>
      <w:r w:rsidR="003074F5">
        <w:rPr>
          <w:sz w:val="22"/>
          <w:szCs w:val="22"/>
        </w:rPr>
        <w:t>TWWTP</w:t>
      </w:r>
      <w:r w:rsidR="003074F5" w:rsidRPr="00807E2A">
        <w:rPr>
          <w:color w:val="FF0000"/>
          <w:sz w:val="22"/>
          <w:szCs w:val="22"/>
        </w:rPr>
        <w:t xml:space="preserve"> </w:t>
      </w:r>
      <w:r w:rsidRPr="00807E2A">
        <w:rPr>
          <w:sz w:val="22"/>
          <w:szCs w:val="22"/>
        </w:rPr>
        <w:t xml:space="preserve">had the choice to sample for </w:t>
      </w:r>
      <w:r w:rsidRPr="00807E2A">
        <w:rPr>
          <w:i/>
          <w:sz w:val="22"/>
          <w:szCs w:val="22"/>
        </w:rPr>
        <w:t xml:space="preserve">fecal </w:t>
      </w:r>
      <w:r w:rsidRPr="00807E2A">
        <w:rPr>
          <w:sz w:val="22"/>
          <w:szCs w:val="22"/>
        </w:rPr>
        <w:t xml:space="preserve">coliform or </w:t>
      </w:r>
      <w:r w:rsidRPr="00807E2A">
        <w:rPr>
          <w:i/>
          <w:sz w:val="22"/>
          <w:szCs w:val="22"/>
        </w:rPr>
        <w:t>salmonella</w:t>
      </w:r>
      <w:r w:rsidRPr="00807E2A">
        <w:rPr>
          <w:sz w:val="22"/>
          <w:szCs w:val="22"/>
        </w:rPr>
        <w:t xml:space="preserve">, and the </w:t>
      </w:r>
      <w:r w:rsidR="003074F5">
        <w:rPr>
          <w:sz w:val="22"/>
          <w:szCs w:val="22"/>
        </w:rPr>
        <w:t>TWWTP</w:t>
      </w:r>
      <w:r w:rsidR="003074F5" w:rsidRPr="00807E2A">
        <w:rPr>
          <w:color w:val="FF0000"/>
          <w:sz w:val="22"/>
          <w:szCs w:val="22"/>
        </w:rPr>
        <w:t xml:space="preserve"> </w:t>
      </w:r>
      <w:r w:rsidRPr="00807E2A">
        <w:rPr>
          <w:sz w:val="22"/>
          <w:szCs w:val="22"/>
        </w:rPr>
        <w:t xml:space="preserve">chose </w:t>
      </w:r>
      <w:r w:rsidR="003074F5" w:rsidRPr="00807E2A">
        <w:rPr>
          <w:i/>
          <w:sz w:val="22"/>
          <w:szCs w:val="22"/>
        </w:rPr>
        <w:t xml:space="preserve">fecal </w:t>
      </w:r>
      <w:r w:rsidR="003074F5" w:rsidRPr="00807E2A">
        <w:rPr>
          <w:sz w:val="22"/>
          <w:szCs w:val="22"/>
        </w:rPr>
        <w:t>coliform</w:t>
      </w:r>
      <w:r w:rsidRPr="00807E2A">
        <w:rPr>
          <w:sz w:val="22"/>
          <w:szCs w:val="22"/>
        </w:rPr>
        <w:t xml:space="preserve">.  Each monitoring episode needs to consist of seven samples, for a total </w:t>
      </w:r>
      <w:r w:rsidR="003074F5">
        <w:rPr>
          <w:sz w:val="22"/>
          <w:szCs w:val="22"/>
        </w:rPr>
        <w:t>28</w:t>
      </w:r>
      <w:r w:rsidRPr="00807E2A">
        <w:rPr>
          <w:sz w:val="22"/>
          <w:szCs w:val="22"/>
        </w:rPr>
        <w:t xml:space="preserve"> samples. All compost sold or given away in </w:t>
      </w:r>
      <w:r w:rsidR="003074F5">
        <w:rPr>
          <w:sz w:val="22"/>
          <w:szCs w:val="22"/>
        </w:rPr>
        <w:t>2017</w:t>
      </w:r>
      <w:r w:rsidRPr="00807E2A">
        <w:rPr>
          <w:sz w:val="22"/>
          <w:szCs w:val="22"/>
        </w:rPr>
        <w:t xml:space="preserve"> met the Class </w:t>
      </w:r>
      <w:proofErr w:type="gramStart"/>
      <w:r w:rsidRPr="00807E2A">
        <w:rPr>
          <w:sz w:val="22"/>
          <w:szCs w:val="22"/>
        </w:rPr>
        <w:t>A</w:t>
      </w:r>
      <w:proofErr w:type="gramEnd"/>
      <w:r w:rsidRPr="00807E2A">
        <w:rPr>
          <w:sz w:val="22"/>
          <w:szCs w:val="22"/>
        </w:rPr>
        <w:t xml:space="preserve"> pathogen standards for compost. The monitoring data is below.</w:t>
      </w:r>
    </w:p>
    <w:p w:rsidR="00807E2A" w:rsidRPr="00807E2A" w:rsidRDefault="00807E2A" w:rsidP="00807E2A">
      <w:pPr>
        <w:rPr>
          <w:b/>
          <w:sz w:val="22"/>
          <w:szCs w:val="22"/>
          <w:u w:val="single"/>
        </w:rPr>
      </w:pPr>
    </w:p>
    <w:p w:rsidR="00807E2A" w:rsidRPr="003074F5" w:rsidRDefault="00A20861" w:rsidP="00807E2A">
      <w:pPr>
        <w:rPr>
          <w:sz w:val="22"/>
          <w:szCs w:val="22"/>
        </w:rPr>
      </w:pPr>
      <w:r w:rsidRPr="003074F5">
        <w:rPr>
          <w:sz w:val="22"/>
          <w:szCs w:val="22"/>
        </w:rPr>
        <w:t>TWWTP</w:t>
      </w:r>
      <w:r w:rsidR="007077A5" w:rsidRPr="003074F5">
        <w:rPr>
          <w:sz w:val="22"/>
          <w:szCs w:val="22"/>
        </w:rPr>
        <w:t xml:space="preserve"> </w:t>
      </w:r>
      <w:r w:rsidR="003074F5" w:rsidRPr="003074F5">
        <w:rPr>
          <w:sz w:val="22"/>
          <w:szCs w:val="22"/>
        </w:rPr>
        <w:t>Fecal Coliform</w:t>
      </w:r>
      <w:r w:rsidR="00807E2A" w:rsidRPr="003074F5">
        <w:rPr>
          <w:sz w:val="22"/>
          <w:szCs w:val="22"/>
        </w:rPr>
        <w:t xml:space="preserve"> Monitoring Data </w:t>
      </w:r>
      <w:r w:rsidR="003074F5" w:rsidRPr="003074F5">
        <w:rPr>
          <w:sz w:val="22"/>
          <w:szCs w:val="22"/>
        </w:rPr>
        <w:t>2017 (</w:t>
      </w:r>
      <w:r w:rsidR="00807E2A" w:rsidRPr="003074F5">
        <w:rPr>
          <w:sz w:val="22"/>
          <w:szCs w:val="22"/>
        </w:rPr>
        <w:t xml:space="preserve">Compost)  </w:t>
      </w:r>
    </w:p>
    <w:p w:rsidR="00F964D1" w:rsidRPr="00807E2A" w:rsidRDefault="00F964D1" w:rsidP="00807E2A">
      <w:pPr>
        <w:rPr>
          <w:sz w:val="22"/>
          <w:szCs w:val="22"/>
        </w:rPr>
      </w:pPr>
    </w:p>
    <w:tbl>
      <w:tblPr>
        <w:tblW w:w="864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shd w:val="clear" w:color="auto" w:fill="FFFFFF"/>
        <w:tblLook w:val="0000" w:firstRow="0" w:lastRow="0" w:firstColumn="0" w:lastColumn="0" w:noHBand="0" w:noVBand="0"/>
      </w:tblPr>
      <w:tblGrid>
        <w:gridCol w:w="4324"/>
        <w:gridCol w:w="4316"/>
      </w:tblGrid>
      <w:tr w:rsidR="00807E2A" w:rsidRPr="00807E2A" w:rsidTr="00F964D1">
        <w:trPr>
          <w:cantSplit/>
          <w:trHeight w:val="144"/>
          <w:jc w:val="center"/>
        </w:trPr>
        <w:tc>
          <w:tcPr>
            <w:tcW w:w="4324" w:type="dxa"/>
            <w:shd w:val="clear" w:color="auto" w:fill="FFFFFF"/>
          </w:tcPr>
          <w:p w:rsidR="003074F5" w:rsidRDefault="00807E2A" w:rsidP="003074F5">
            <w:pPr>
              <w:contextualSpacing/>
              <w:jc w:val="center"/>
              <w:rPr>
                <w:sz w:val="22"/>
                <w:szCs w:val="22"/>
              </w:rPr>
            </w:pPr>
            <w:r w:rsidRPr="00807E2A">
              <w:rPr>
                <w:sz w:val="22"/>
                <w:szCs w:val="22"/>
              </w:rPr>
              <w:t xml:space="preserve">Geometric Mean of </w:t>
            </w:r>
            <w:r w:rsidR="003074F5">
              <w:rPr>
                <w:sz w:val="22"/>
                <w:szCs w:val="22"/>
              </w:rPr>
              <w:t>28</w:t>
            </w:r>
            <w:r w:rsidRPr="00807E2A">
              <w:rPr>
                <w:sz w:val="22"/>
                <w:szCs w:val="22"/>
              </w:rPr>
              <w:t xml:space="preserve"> Samples, </w:t>
            </w:r>
          </w:p>
          <w:p w:rsidR="00807E2A" w:rsidRPr="00807E2A" w:rsidRDefault="00807E2A" w:rsidP="003074F5">
            <w:pPr>
              <w:contextualSpacing/>
              <w:jc w:val="center"/>
              <w:rPr>
                <w:sz w:val="22"/>
                <w:szCs w:val="22"/>
              </w:rPr>
            </w:pPr>
            <w:r w:rsidRPr="00807E2A">
              <w:rPr>
                <w:sz w:val="22"/>
                <w:szCs w:val="22"/>
              </w:rPr>
              <w:t>Most Probable Number Per Gram (</w:t>
            </w:r>
            <w:r w:rsidR="003074F5">
              <w:rPr>
                <w:sz w:val="22"/>
                <w:szCs w:val="22"/>
              </w:rPr>
              <w:t>2017</w:t>
            </w:r>
            <w:r w:rsidRPr="00807E2A">
              <w:rPr>
                <w:sz w:val="22"/>
                <w:szCs w:val="22"/>
              </w:rPr>
              <w:t>)</w:t>
            </w:r>
          </w:p>
        </w:tc>
        <w:tc>
          <w:tcPr>
            <w:tcW w:w="4316" w:type="dxa"/>
            <w:shd w:val="clear" w:color="auto" w:fill="FFFFFF"/>
          </w:tcPr>
          <w:p w:rsidR="003074F5" w:rsidRDefault="00807E2A" w:rsidP="003074F5">
            <w:pPr>
              <w:contextualSpacing/>
              <w:jc w:val="center"/>
              <w:rPr>
                <w:sz w:val="22"/>
                <w:szCs w:val="22"/>
              </w:rPr>
            </w:pPr>
            <w:r w:rsidRPr="00807E2A">
              <w:rPr>
                <w:sz w:val="22"/>
                <w:szCs w:val="22"/>
              </w:rPr>
              <w:t xml:space="preserve">Maximum of </w:t>
            </w:r>
            <w:r w:rsidR="003074F5">
              <w:rPr>
                <w:sz w:val="22"/>
                <w:szCs w:val="22"/>
              </w:rPr>
              <w:t>28</w:t>
            </w:r>
            <w:r w:rsidRPr="00807E2A">
              <w:rPr>
                <w:sz w:val="22"/>
                <w:szCs w:val="22"/>
              </w:rPr>
              <w:t xml:space="preserve"> Samples, </w:t>
            </w:r>
          </w:p>
          <w:p w:rsidR="00807E2A" w:rsidRPr="00807E2A" w:rsidRDefault="00807E2A" w:rsidP="003074F5">
            <w:pPr>
              <w:contextualSpacing/>
              <w:jc w:val="center"/>
              <w:rPr>
                <w:sz w:val="22"/>
                <w:szCs w:val="22"/>
              </w:rPr>
            </w:pPr>
            <w:r w:rsidRPr="00807E2A">
              <w:rPr>
                <w:sz w:val="22"/>
                <w:szCs w:val="22"/>
              </w:rPr>
              <w:t>Most Probable Number Per Gram (</w:t>
            </w:r>
            <w:r w:rsidR="003074F5">
              <w:rPr>
                <w:sz w:val="22"/>
                <w:szCs w:val="22"/>
              </w:rPr>
              <w:t>2017</w:t>
            </w:r>
            <w:r w:rsidRPr="00807E2A">
              <w:rPr>
                <w:sz w:val="22"/>
                <w:szCs w:val="22"/>
              </w:rPr>
              <w:t>)</w:t>
            </w:r>
          </w:p>
        </w:tc>
      </w:tr>
      <w:tr w:rsidR="00807E2A" w:rsidRPr="00807E2A" w:rsidTr="00F964D1">
        <w:trPr>
          <w:cantSplit/>
          <w:trHeight w:val="144"/>
          <w:jc w:val="center"/>
        </w:trPr>
        <w:tc>
          <w:tcPr>
            <w:tcW w:w="4324" w:type="dxa"/>
            <w:shd w:val="clear" w:color="auto" w:fill="FFFFFF"/>
          </w:tcPr>
          <w:p w:rsidR="00807E2A" w:rsidRPr="00807E2A" w:rsidRDefault="003074F5" w:rsidP="00F964D1">
            <w:pPr>
              <w:contextualSpacing/>
              <w:jc w:val="center"/>
              <w:rPr>
                <w:sz w:val="22"/>
                <w:szCs w:val="22"/>
              </w:rPr>
            </w:pPr>
            <w:r>
              <w:rPr>
                <w:sz w:val="22"/>
                <w:szCs w:val="22"/>
              </w:rPr>
              <w:t>32.09</w:t>
            </w:r>
          </w:p>
        </w:tc>
        <w:tc>
          <w:tcPr>
            <w:tcW w:w="4316" w:type="dxa"/>
            <w:shd w:val="clear" w:color="auto" w:fill="FFFFFF"/>
          </w:tcPr>
          <w:p w:rsidR="00807E2A" w:rsidRPr="00807E2A" w:rsidRDefault="003074F5" w:rsidP="00F964D1">
            <w:pPr>
              <w:contextualSpacing/>
              <w:jc w:val="center"/>
              <w:rPr>
                <w:sz w:val="22"/>
                <w:szCs w:val="22"/>
              </w:rPr>
            </w:pPr>
            <w:r>
              <w:rPr>
                <w:sz w:val="22"/>
                <w:szCs w:val="22"/>
              </w:rPr>
              <w:t>249.6</w:t>
            </w:r>
          </w:p>
        </w:tc>
      </w:tr>
    </w:tbl>
    <w:p w:rsidR="00E71B47" w:rsidRDefault="00E71B47" w:rsidP="00E71B47">
      <w:pPr>
        <w:widowControl/>
        <w:jc w:val="both"/>
        <w:rPr>
          <w:b/>
          <w:sz w:val="22"/>
          <w:szCs w:val="22"/>
          <w:u w:val="single"/>
        </w:rPr>
      </w:pPr>
    </w:p>
    <w:p w:rsidR="00E71B47" w:rsidRPr="00DE7149" w:rsidRDefault="00E71B47" w:rsidP="00E71B47">
      <w:pPr>
        <w:widowControl/>
        <w:jc w:val="both"/>
        <w:rPr>
          <w:b/>
          <w:sz w:val="22"/>
          <w:szCs w:val="22"/>
          <w:u w:val="single"/>
        </w:rPr>
      </w:pPr>
    </w:p>
    <w:p w:rsidR="00E71B47" w:rsidRPr="00DE7149" w:rsidRDefault="00E71B47" w:rsidP="00E71B47">
      <w:pPr>
        <w:pStyle w:val="Heading6"/>
        <w:widowControl/>
        <w:rPr>
          <w:bCs w:val="0"/>
          <w:sz w:val="22"/>
          <w:szCs w:val="22"/>
        </w:rPr>
      </w:pPr>
      <w:r w:rsidRPr="00DE7149">
        <w:rPr>
          <w:bCs w:val="0"/>
          <w:sz w:val="22"/>
          <w:szCs w:val="22"/>
        </w:rPr>
        <w:t>STORM WATER</w:t>
      </w:r>
    </w:p>
    <w:p w:rsidR="00E71B47" w:rsidRPr="00DE7149" w:rsidRDefault="00E71B47" w:rsidP="00E71B47">
      <w:pPr>
        <w:widowControl/>
        <w:jc w:val="both"/>
        <w:rPr>
          <w:b/>
          <w:sz w:val="22"/>
          <w:szCs w:val="22"/>
          <w:u w:val="single"/>
        </w:rPr>
      </w:pPr>
    </w:p>
    <w:p w:rsidR="00E71B47" w:rsidRPr="00DE7149" w:rsidRDefault="00E71B47" w:rsidP="00E71B47">
      <w:pPr>
        <w:pStyle w:val="Heading9"/>
        <w:jc w:val="both"/>
        <w:rPr>
          <w:sz w:val="22"/>
          <w:szCs w:val="22"/>
        </w:rPr>
      </w:pPr>
      <w:r w:rsidRPr="00DE7149">
        <w:rPr>
          <w:sz w:val="22"/>
          <w:szCs w:val="22"/>
        </w:rPr>
        <w:t>STORMWATER REQUIREMENTS</w:t>
      </w:r>
    </w:p>
    <w:p w:rsidR="00E71B47" w:rsidRPr="00DE7149" w:rsidRDefault="00E71B47" w:rsidP="00E71B47">
      <w:pPr>
        <w:jc w:val="both"/>
        <w:rPr>
          <w:sz w:val="22"/>
          <w:szCs w:val="22"/>
        </w:rPr>
      </w:pPr>
      <w:r w:rsidRPr="00DE7149">
        <w:rPr>
          <w:sz w:val="22"/>
          <w:szCs w:val="22"/>
        </w:rPr>
        <w:t>Storm water provisions are included in this combined UPDES permit.</w:t>
      </w:r>
    </w:p>
    <w:p w:rsidR="00E71B47" w:rsidRPr="00DE7149" w:rsidRDefault="00E71B47" w:rsidP="00E71B47">
      <w:pPr>
        <w:jc w:val="both"/>
        <w:rPr>
          <w:sz w:val="22"/>
          <w:szCs w:val="22"/>
        </w:rPr>
      </w:pPr>
    </w:p>
    <w:p w:rsidR="00E71B47" w:rsidRPr="00DE7149" w:rsidRDefault="00E71B47" w:rsidP="00E71B47">
      <w:pPr>
        <w:jc w:val="both"/>
        <w:rPr>
          <w:sz w:val="22"/>
          <w:szCs w:val="22"/>
        </w:rPr>
      </w:pPr>
      <w:r w:rsidRPr="00DE7149">
        <w:rPr>
          <w:sz w:val="22"/>
          <w:szCs w:val="22"/>
        </w:rPr>
        <w:t xml:space="preserve">The storm water requirements are based on the UPDES Multi-Sector General Permit for Storm Water Discharges for Industrial Activity, General Permit No. </w:t>
      </w:r>
      <w:proofErr w:type="gramStart"/>
      <w:r w:rsidRPr="00DE7149">
        <w:rPr>
          <w:sz w:val="22"/>
          <w:szCs w:val="22"/>
        </w:rPr>
        <w:t>UTR000000 (MSGP).</w:t>
      </w:r>
      <w:proofErr w:type="gramEnd"/>
      <w:r w:rsidRPr="00DE7149">
        <w:rPr>
          <w:sz w:val="22"/>
          <w:szCs w:val="22"/>
        </w:rPr>
        <w:t xml:space="preserve">  All sections of the MSGP that pertain to discharges from wastewater treatment plants have been included and sections which are redundant or do not pertain have been deleted.  </w:t>
      </w:r>
    </w:p>
    <w:p w:rsidR="00E71B47" w:rsidRPr="00DE7149" w:rsidRDefault="00E71B47" w:rsidP="00E71B47">
      <w:pPr>
        <w:jc w:val="both"/>
        <w:rPr>
          <w:sz w:val="22"/>
          <w:szCs w:val="22"/>
        </w:rPr>
      </w:pPr>
    </w:p>
    <w:p w:rsidR="00E71B47" w:rsidRPr="00DE7149" w:rsidRDefault="00E71B47" w:rsidP="00E71B47">
      <w:pPr>
        <w:jc w:val="both"/>
        <w:rPr>
          <w:sz w:val="22"/>
          <w:szCs w:val="22"/>
        </w:rPr>
      </w:pPr>
      <w:r w:rsidRPr="00DE7149">
        <w:rPr>
          <w:sz w:val="22"/>
          <w:szCs w:val="22"/>
        </w:rPr>
        <w:t xml:space="preserve">The permit requires the preparation and implementation of a storm water pollution prevention plan for all areas within the confines of the plant.  Elements of this plan are required to include: </w:t>
      </w:r>
    </w:p>
    <w:p w:rsidR="00E71B47" w:rsidRPr="00DE7149" w:rsidRDefault="00E71B47" w:rsidP="00E71B47">
      <w:pPr>
        <w:jc w:val="both"/>
        <w:rPr>
          <w:sz w:val="22"/>
          <w:szCs w:val="22"/>
        </w:rPr>
      </w:pPr>
    </w:p>
    <w:p w:rsidR="00E71B47" w:rsidRPr="00DE7149" w:rsidRDefault="00E71B47" w:rsidP="00E71B47">
      <w:pPr>
        <w:ind w:left="720" w:hanging="360"/>
        <w:jc w:val="both"/>
        <w:rPr>
          <w:sz w:val="22"/>
          <w:szCs w:val="22"/>
        </w:rPr>
      </w:pPr>
      <w:r w:rsidRPr="00DE7149">
        <w:rPr>
          <w:sz w:val="22"/>
          <w:szCs w:val="22"/>
        </w:rPr>
        <w:t xml:space="preserve">1. The development of a pollution prevention team: </w:t>
      </w:r>
    </w:p>
    <w:p w:rsidR="00E71B47" w:rsidRPr="00DE7149" w:rsidRDefault="00E71B47" w:rsidP="00E71B47">
      <w:pPr>
        <w:ind w:left="720" w:hanging="360"/>
        <w:jc w:val="both"/>
        <w:rPr>
          <w:sz w:val="22"/>
          <w:szCs w:val="22"/>
        </w:rPr>
      </w:pPr>
      <w:r w:rsidRPr="00DE7149">
        <w:rPr>
          <w:sz w:val="22"/>
          <w:szCs w:val="22"/>
        </w:rPr>
        <w:t xml:space="preserve">2. Development of drainage maps and materials stockpiles: </w:t>
      </w:r>
    </w:p>
    <w:p w:rsidR="00E71B47" w:rsidRPr="00DE7149" w:rsidRDefault="00E71B47" w:rsidP="00E71B47">
      <w:pPr>
        <w:ind w:left="720" w:hanging="360"/>
        <w:jc w:val="both"/>
        <w:rPr>
          <w:sz w:val="22"/>
          <w:szCs w:val="22"/>
        </w:rPr>
      </w:pPr>
      <w:r w:rsidRPr="00DE7149">
        <w:rPr>
          <w:sz w:val="22"/>
          <w:szCs w:val="22"/>
        </w:rPr>
        <w:t xml:space="preserve">3. An inventory of exposed materials: </w:t>
      </w:r>
    </w:p>
    <w:p w:rsidR="00E71B47" w:rsidRPr="00DE7149" w:rsidRDefault="00E71B47" w:rsidP="00E71B47">
      <w:pPr>
        <w:ind w:left="720" w:hanging="360"/>
        <w:jc w:val="both"/>
        <w:rPr>
          <w:sz w:val="22"/>
          <w:szCs w:val="22"/>
        </w:rPr>
      </w:pPr>
      <w:r w:rsidRPr="00DE7149">
        <w:rPr>
          <w:sz w:val="22"/>
          <w:szCs w:val="22"/>
        </w:rPr>
        <w:t>4. Spill reporting and response procedures:</w:t>
      </w:r>
    </w:p>
    <w:p w:rsidR="00E71B47" w:rsidRPr="00DE7149" w:rsidRDefault="00E71B47" w:rsidP="00E71B47">
      <w:pPr>
        <w:ind w:left="720" w:hanging="360"/>
        <w:jc w:val="both"/>
        <w:rPr>
          <w:sz w:val="22"/>
          <w:szCs w:val="22"/>
        </w:rPr>
      </w:pPr>
      <w:r w:rsidRPr="00DE7149">
        <w:rPr>
          <w:sz w:val="22"/>
          <w:szCs w:val="22"/>
        </w:rPr>
        <w:t xml:space="preserve">5. A preventative maintenance program: </w:t>
      </w:r>
    </w:p>
    <w:p w:rsidR="00E71B47" w:rsidRPr="00DE7149" w:rsidRDefault="00E71B47" w:rsidP="00E71B47">
      <w:pPr>
        <w:ind w:left="720" w:hanging="360"/>
        <w:jc w:val="both"/>
        <w:rPr>
          <w:sz w:val="22"/>
          <w:szCs w:val="22"/>
        </w:rPr>
      </w:pPr>
      <w:r w:rsidRPr="00DE7149">
        <w:rPr>
          <w:sz w:val="22"/>
          <w:szCs w:val="22"/>
        </w:rPr>
        <w:t xml:space="preserve">6. Employee training: </w:t>
      </w:r>
    </w:p>
    <w:p w:rsidR="00E71B47" w:rsidRPr="00DE7149" w:rsidRDefault="00E71B47" w:rsidP="00E71B47">
      <w:pPr>
        <w:ind w:left="720" w:hanging="360"/>
        <w:jc w:val="both"/>
        <w:rPr>
          <w:sz w:val="22"/>
          <w:szCs w:val="22"/>
        </w:rPr>
      </w:pPr>
      <w:r w:rsidRPr="00DE7149">
        <w:rPr>
          <w:sz w:val="22"/>
          <w:szCs w:val="22"/>
        </w:rPr>
        <w:t xml:space="preserve">7. Certification that storm water discharges are not mixed with non-storm water discharges: </w:t>
      </w:r>
    </w:p>
    <w:p w:rsidR="00E71B47" w:rsidRPr="00DE7149" w:rsidRDefault="00E71B47" w:rsidP="00E71B47">
      <w:pPr>
        <w:ind w:left="720" w:hanging="360"/>
        <w:jc w:val="both"/>
        <w:rPr>
          <w:sz w:val="22"/>
          <w:szCs w:val="22"/>
        </w:rPr>
      </w:pPr>
      <w:r w:rsidRPr="00DE7149">
        <w:rPr>
          <w:sz w:val="22"/>
          <w:szCs w:val="22"/>
        </w:rPr>
        <w:t xml:space="preserve">8. Compliance site evaluations and potential pollutant source identification, and: </w:t>
      </w:r>
    </w:p>
    <w:p w:rsidR="00E71B47" w:rsidRPr="00DE7149" w:rsidRDefault="00E71B47" w:rsidP="00E71B47">
      <w:pPr>
        <w:ind w:left="720" w:hanging="360"/>
        <w:jc w:val="both"/>
        <w:rPr>
          <w:sz w:val="22"/>
          <w:szCs w:val="22"/>
        </w:rPr>
      </w:pPr>
      <w:r w:rsidRPr="00DE7149">
        <w:rPr>
          <w:sz w:val="22"/>
          <w:szCs w:val="22"/>
        </w:rPr>
        <w:t>9. Visual examinations of storm water discharges.</w:t>
      </w:r>
    </w:p>
    <w:p w:rsidR="00E71B47" w:rsidRPr="002A0EB7" w:rsidRDefault="00E71B47" w:rsidP="002A0EB7">
      <w:pPr>
        <w:jc w:val="both"/>
        <w:rPr>
          <w:sz w:val="22"/>
          <w:szCs w:val="22"/>
        </w:rPr>
      </w:pPr>
      <w:r w:rsidRPr="00DE7149">
        <w:rPr>
          <w:sz w:val="22"/>
          <w:szCs w:val="22"/>
        </w:rPr>
        <w:t xml:space="preserve"> </w:t>
      </w:r>
    </w:p>
    <w:p w:rsidR="00E71B47" w:rsidRPr="00DE7149" w:rsidRDefault="00E71B47" w:rsidP="00E71B47">
      <w:pPr>
        <w:pStyle w:val="Heading2"/>
        <w:jc w:val="center"/>
        <w:rPr>
          <w:rFonts w:ascii="Times New Roman" w:hAnsi="Times New Roman" w:cs="Times New Roman"/>
          <w:sz w:val="22"/>
          <w:szCs w:val="22"/>
        </w:rPr>
      </w:pPr>
      <w:r w:rsidRPr="00DE7149">
        <w:rPr>
          <w:rFonts w:ascii="Times New Roman" w:hAnsi="Times New Roman" w:cs="Times New Roman"/>
          <w:sz w:val="22"/>
          <w:szCs w:val="22"/>
        </w:rPr>
        <w:t>PRETREATMENT REQUIREMENTS</w:t>
      </w:r>
    </w:p>
    <w:p w:rsidR="00E71B47" w:rsidRPr="00DE7149" w:rsidRDefault="00E71B47" w:rsidP="00E71B47">
      <w:pPr>
        <w:jc w:val="both"/>
        <w:rPr>
          <w:sz w:val="22"/>
          <w:szCs w:val="22"/>
        </w:rPr>
      </w:pPr>
    </w:p>
    <w:p w:rsidR="00E71B47" w:rsidRPr="00DE7149" w:rsidRDefault="00E71B47" w:rsidP="00E71B47">
      <w:pPr>
        <w:jc w:val="both"/>
        <w:rPr>
          <w:sz w:val="22"/>
          <w:szCs w:val="22"/>
        </w:rPr>
      </w:pPr>
      <w:r w:rsidRPr="00DE7149">
        <w:rPr>
          <w:sz w:val="22"/>
          <w:szCs w:val="22"/>
        </w:rPr>
        <w:t>The permittee has not been designated for pretreatment program development because it does not meet conditions which necessitate a full program.  The flow through the plant is less than five (5) MGD, there are no categorical industries discharging to the treatment facility, industrial discharges comprise less than 1 percent of the flow through the treatment facility, and there is no indication of pass through or interference with the operation of the treatment facility such as upsets or violations of the POTW's UPDES permit limits</w:t>
      </w:r>
      <w:r w:rsidRPr="00DE7149">
        <w:rPr>
          <w:i/>
          <w:iCs/>
          <w:sz w:val="22"/>
          <w:szCs w:val="22"/>
        </w:rPr>
        <w:t>.</w:t>
      </w:r>
    </w:p>
    <w:p w:rsidR="00E71B47" w:rsidRPr="00DE7149" w:rsidRDefault="00E71B47" w:rsidP="00E71B47">
      <w:pPr>
        <w:jc w:val="both"/>
        <w:rPr>
          <w:sz w:val="22"/>
          <w:szCs w:val="22"/>
        </w:rPr>
      </w:pPr>
    </w:p>
    <w:p w:rsidR="00E71B47" w:rsidRPr="00DE7149" w:rsidRDefault="00E71B47" w:rsidP="00E71B47">
      <w:pPr>
        <w:jc w:val="both"/>
        <w:rPr>
          <w:sz w:val="22"/>
          <w:szCs w:val="22"/>
        </w:rPr>
      </w:pPr>
      <w:r w:rsidRPr="00DE7149">
        <w:rPr>
          <w:sz w:val="22"/>
          <w:szCs w:val="22"/>
        </w:rPr>
        <w:t xml:space="preserve">Although the permittee does not have to develop a State-approved pretreatment program, any wastewater discharges to the sanitary sewer are subject to Federal, State and local regulations.  Pursuant to Section 307 of the Clean Water Act, the permittee shall comply with all applicable Federal General Pretreatment Regulations promulgated, found in 40 CFR 403 and the State Pretreatment Requirements found in UAC R317-8-8.  </w:t>
      </w:r>
    </w:p>
    <w:p w:rsidR="00E71B47" w:rsidRPr="00DE7149" w:rsidRDefault="00E71B47" w:rsidP="00E71B47">
      <w:pPr>
        <w:jc w:val="both"/>
        <w:rPr>
          <w:sz w:val="22"/>
          <w:szCs w:val="22"/>
        </w:rPr>
      </w:pPr>
    </w:p>
    <w:p w:rsidR="00E71B47" w:rsidRPr="00DE7149" w:rsidRDefault="00E71B47" w:rsidP="00E71B47">
      <w:pPr>
        <w:jc w:val="both"/>
        <w:rPr>
          <w:sz w:val="22"/>
          <w:szCs w:val="22"/>
        </w:rPr>
      </w:pPr>
      <w:r w:rsidRPr="00DE7149">
        <w:rPr>
          <w:sz w:val="22"/>
          <w:szCs w:val="22"/>
        </w:rPr>
        <w:t xml:space="preserve">An industrial waste survey (IWS) is required of the permittee as stated in Part II of the permit.  The IWS is to assess the needs of the permittee regarding pretreatment assistance.  The IWS is required to be submitted within sixty (60) days after the issuance of the permit.  If an Industrial User begins to discharge or an existing Industrial User changes their discharge the permittee must resubmit an IWS no later than sixty days following the introduction or change as stated in Part II of the permit. </w:t>
      </w:r>
    </w:p>
    <w:p w:rsidR="00E71B47" w:rsidRPr="00DE7149" w:rsidRDefault="00E71B47" w:rsidP="00E71B47">
      <w:pPr>
        <w:rPr>
          <w:sz w:val="22"/>
          <w:szCs w:val="22"/>
        </w:rPr>
      </w:pPr>
    </w:p>
    <w:p w:rsidR="00E71B47" w:rsidRDefault="00E71B47" w:rsidP="00E71B47">
      <w:pPr>
        <w:jc w:val="both"/>
        <w:rPr>
          <w:sz w:val="22"/>
          <w:szCs w:val="22"/>
        </w:rPr>
      </w:pPr>
      <w:r w:rsidRPr="00DE7149">
        <w:rPr>
          <w:sz w:val="22"/>
          <w:szCs w:val="22"/>
        </w:rPr>
        <w:t xml:space="preserve">It is required that the permittee submit for review any local limits that are developed to the Division of Water Quality for review. If local limits are developed it is required that the permittee perform an annual evaluation of the need to revise or develop technically based local limits for pollutants of concern, to implement the general and specific prohibitions </w:t>
      </w:r>
      <w:r w:rsidRPr="00DE7149">
        <w:rPr>
          <w:i/>
          <w:iCs/>
          <w:sz w:val="22"/>
          <w:szCs w:val="22"/>
        </w:rPr>
        <w:t>40 CFR, Part 403.5(a)</w:t>
      </w:r>
      <w:r w:rsidRPr="00DE7149">
        <w:rPr>
          <w:sz w:val="22"/>
          <w:szCs w:val="22"/>
        </w:rPr>
        <w:t xml:space="preserve"> and </w:t>
      </w:r>
      <w:r w:rsidRPr="00DE7149">
        <w:rPr>
          <w:i/>
          <w:iCs/>
          <w:sz w:val="22"/>
          <w:szCs w:val="22"/>
        </w:rPr>
        <w:t>Part 403.5(b)</w:t>
      </w:r>
      <w:r w:rsidRPr="00DE7149">
        <w:rPr>
          <w:sz w:val="22"/>
          <w:szCs w:val="22"/>
        </w:rPr>
        <w:t xml:space="preserve">. This evaluation may indicate that present local limits are sufficiently protective, need to be revised or should be </w:t>
      </w:r>
      <w:r w:rsidRPr="00DE7149">
        <w:rPr>
          <w:sz w:val="22"/>
          <w:szCs w:val="22"/>
        </w:rPr>
        <w:lastRenderedPageBreak/>
        <w:t>developed.</w:t>
      </w:r>
    </w:p>
    <w:p w:rsidR="00B9312F" w:rsidRDefault="00AB4347" w:rsidP="00AB4347">
      <w:pPr>
        <w:tabs>
          <w:tab w:val="left" w:pos="2926"/>
        </w:tabs>
        <w:jc w:val="both"/>
        <w:rPr>
          <w:sz w:val="22"/>
          <w:szCs w:val="22"/>
        </w:rPr>
      </w:pPr>
      <w:r>
        <w:rPr>
          <w:sz w:val="22"/>
          <w:szCs w:val="22"/>
        </w:rPr>
        <w:tab/>
      </w:r>
    </w:p>
    <w:p w:rsidR="00E71B47" w:rsidRPr="00DE7149" w:rsidRDefault="00E71B47" w:rsidP="00E71B47">
      <w:pPr>
        <w:pStyle w:val="Heading1"/>
        <w:tabs>
          <w:tab w:val="left" w:pos="-1440"/>
          <w:tab w:val="left" w:pos="-720"/>
          <w:tab w:val="left" w:pos="0"/>
          <w:tab w:val="left" w:pos="777"/>
          <w:tab w:val="center" w:pos="4334"/>
          <w:tab w:val="center" w:pos="6480"/>
          <w:tab w:val="center" w:pos="8640"/>
        </w:tabs>
        <w:jc w:val="center"/>
        <w:rPr>
          <w:bCs/>
          <w:sz w:val="22"/>
          <w:szCs w:val="22"/>
        </w:rPr>
      </w:pPr>
      <w:r w:rsidRPr="00DE7149">
        <w:rPr>
          <w:bCs/>
          <w:sz w:val="22"/>
          <w:szCs w:val="22"/>
        </w:rPr>
        <w:t>BIOMONITORING REQUIREMENTS</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b/>
          <w:sz w:val="22"/>
          <w:szCs w:val="22"/>
          <w:u w:val="single"/>
        </w:rPr>
      </w:pPr>
    </w:p>
    <w:p w:rsidR="00E71B47" w:rsidRDefault="00E71B47" w:rsidP="00E71B47">
      <w:pPr>
        <w:jc w:val="both"/>
        <w:rPr>
          <w:sz w:val="22"/>
          <w:szCs w:val="22"/>
        </w:rPr>
      </w:pPr>
      <w:r w:rsidRPr="00DE7149">
        <w:rPr>
          <w:sz w:val="22"/>
          <w:szCs w:val="22"/>
        </w:rPr>
        <w:t>A nationwide effort to control toxic discharges where effluent toxicity is an existing or potential concern is regulated in accordance with the State of Utah Permitting and Enforcement Guidance Document for Whole Effluent Toxicity Control (biomonitoring).  Authority to require effluent biomonitoring is provided in Permit Conditions, UAC R317-8-4.2, Permit Provisions, UAC R317-8-5.3 and Water Quality Standards, UAC R317-2-5 and R317 -2-7.2.</w:t>
      </w:r>
    </w:p>
    <w:p w:rsidR="000E24E8" w:rsidRPr="00DE7149" w:rsidRDefault="000E24E8" w:rsidP="00E71B47">
      <w:pPr>
        <w:jc w:val="both"/>
        <w:rPr>
          <w:sz w:val="22"/>
          <w:szCs w:val="22"/>
        </w:rPr>
      </w:pPr>
    </w:p>
    <w:p w:rsidR="004603AD" w:rsidRPr="000046DD" w:rsidRDefault="0001548F" w:rsidP="004603AD">
      <w:pPr>
        <w:jc w:val="both"/>
        <w:rPr>
          <w:sz w:val="22"/>
          <w:szCs w:val="22"/>
        </w:rPr>
      </w:pPr>
      <w:r>
        <w:rPr>
          <w:color w:val="000000"/>
          <w:sz w:val="22"/>
          <w:szCs w:val="22"/>
        </w:rPr>
        <w:t>Since the permittee is a M</w:t>
      </w:r>
      <w:r w:rsidR="004603AD" w:rsidRPr="000046DD">
        <w:rPr>
          <w:color w:val="000000"/>
          <w:sz w:val="22"/>
          <w:szCs w:val="22"/>
        </w:rPr>
        <w:t>ajor mun</w:t>
      </w:r>
      <w:r>
        <w:rPr>
          <w:color w:val="000000"/>
          <w:sz w:val="22"/>
          <w:szCs w:val="22"/>
        </w:rPr>
        <w:t>icipal discharging facility</w:t>
      </w:r>
      <w:r w:rsidR="004603AD" w:rsidRPr="000046DD">
        <w:rPr>
          <w:color w:val="000000"/>
          <w:sz w:val="22"/>
          <w:szCs w:val="22"/>
        </w:rPr>
        <w:t xml:space="preserve">, the renewal permit will require whole effluent toxicity (WET) testing.  </w:t>
      </w:r>
      <w:r w:rsidR="000046DD">
        <w:rPr>
          <w:color w:val="000000"/>
          <w:sz w:val="22"/>
          <w:szCs w:val="22"/>
        </w:rPr>
        <w:t>Previously</w:t>
      </w:r>
      <w:r w:rsidR="007E7F8A">
        <w:rPr>
          <w:color w:val="000000"/>
          <w:sz w:val="22"/>
          <w:szCs w:val="22"/>
        </w:rPr>
        <w:t>, Acute WET</w:t>
      </w:r>
      <w:r w:rsidR="000046DD">
        <w:rPr>
          <w:color w:val="000000"/>
          <w:sz w:val="22"/>
          <w:szCs w:val="22"/>
        </w:rPr>
        <w:t xml:space="preserve"> tests were</w:t>
      </w:r>
      <w:r w:rsidR="004603AD" w:rsidRPr="000046DD">
        <w:rPr>
          <w:color w:val="000000"/>
          <w:sz w:val="22"/>
          <w:szCs w:val="22"/>
        </w:rPr>
        <w:t xml:space="preserve"> conducted semi-annually alternating between the </w:t>
      </w:r>
      <w:r w:rsidR="004603AD" w:rsidRPr="000046DD">
        <w:rPr>
          <w:sz w:val="22"/>
          <w:szCs w:val="22"/>
          <w:u w:val="single"/>
        </w:rPr>
        <w:t>Ceriodaphnia</w:t>
      </w:r>
      <w:r w:rsidR="004603AD" w:rsidRPr="000046DD">
        <w:rPr>
          <w:sz w:val="22"/>
          <w:szCs w:val="22"/>
        </w:rPr>
        <w:t xml:space="preserve"> </w:t>
      </w:r>
      <w:proofErr w:type="spellStart"/>
      <w:r w:rsidR="004603AD" w:rsidRPr="000046DD">
        <w:rPr>
          <w:sz w:val="22"/>
          <w:szCs w:val="22"/>
          <w:u w:val="single"/>
        </w:rPr>
        <w:t>dubia</w:t>
      </w:r>
      <w:proofErr w:type="spellEnd"/>
      <w:r w:rsidR="004603AD" w:rsidRPr="000046DD">
        <w:rPr>
          <w:sz w:val="22"/>
          <w:szCs w:val="22"/>
        </w:rPr>
        <w:t xml:space="preserve"> and </w:t>
      </w:r>
      <w:r w:rsidR="004603AD" w:rsidRPr="000046DD">
        <w:rPr>
          <w:sz w:val="22"/>
          <w:szCs w:val="22"/>
          <w:u w:val="single"/>
        </w:rPr>
        <w:t>Pimephales</w:t>
      </w:r>
      <w:r w:rsidR="004603AD" w:rsidRPr="000046DD">
        <w:rPr>
          <w:sz w:val="22"/>
          <w:szCs w:val="22"/>
        </w:rPr>
        <w:t xml:space="preserve"> </w:t>
      </w:r>
      <w:r w:rsidR="004603AD" w:rsidRPr="000046DD">
        <w:rPr>
          <w:sz w:val="22"/>
          <w:szCs w:val="22"/>
          <w:u w:val="single"/>
        </w:rPr>
        <w:t>promelas</w:t>
      </w:r>
      <w:r w:rsidR="004603AD" w:rsidRPr="000046DD">
        <w:rPr>
          <w:sz w:val="22"/>
          <w:szCs w:val="22"/>
        </w:rPr>
        <w:t xml:space="preserve"> (fathead minn</w:t>
      </w:r>
      <w:r w:rsidR="000046DD">
        <w:rPr>
          <w:sz w:val="22"/>
          <w:szCs w:val="22"/>
        </w:rPr>
        <w:t>ows) test species</w:t>
      </w:r>
      <w:r w:rsidR="004603AD" w:rsidRPr="000046DD">
        <w:rPr>
          <w:sz w:val="22"/>
          <w:szCs w:val="22"/>
        </w:rPr>
        <w:t xml:space="preserve">.  The </w:t>
      </w:r>
      <w:r w:rsidR="000046DD">
        <w:rPr>
          <w:sz w:val="22"/>
          <w:szCs w:val="22"/>
        </w:rPr>
        <w:t xml:space="preserve">previous </w:t>
      </w:r>
      <w:r w:rsidR="004603AD" w:rsidRPr="000046DD">
        <w:rPr>
          <w:sz w:val="22"/>
          <w:szCs w:val="22"/>
        </w:rPr>
        <w:t xml:space="preserve">testing frequency was determined based on the fact that TWWTP has not violated a WET test for the previous permit cycle and </w:t>
      </w:r>
      <w:r>
        <w:rPr>
          <w:sz w:val="22"/>
          <w:szCs w:val="22"/>
        </w:rPr>
        <w:t xml:space="preserve">that </w:t>
      </w:r>
      <w:r w:rsidR="004603AD" w:rsidRPr="000046DD">
        <w:rPr>
          <w:sz w:val="22"/>
          <w:szCs w:val="22"/>
        </w:rPr>
        <w:t>there is no categorical industrial users discharging to the facility.</w:t>
      </w:r>
      <w:r w:rsidR="000046DD">
        <w:rPr>
          <w:sz w:val="22"/>
          <w:szCs w:val="22"/>
        </w:rPr>
        <w:t xml:space="preserve">  For this permit renewal, the TWWTP facility will be required to conduct quarterly </w:t>
      </w:r>
      <w:proofErr w:type="gramStart"/>
      <w:r w:rsidR="000046DD">
        <w:rPr>
          <w:color w:val="000000"/>
          <w:sz w:val="22"/>
          <w:szCs w:val="22"/>
        </w:rPr>
        <w:t>Acute</w:t>
      </w:r>
      <w:proofErr w:type="gramEnd"/>
      <w:r w:rsidR="000046DD">
        <w:rPr>
          <w:color w:val="000000"/>
          <w:sz w:val="22"/>
          <w:szCs w:val="22"/>
        </w:rPr>
        <w:t xml:space="preserve"> toxicity testing </w:t>
      </w:r>
      <w:r w:rsidR="000046DD" w:rsidRPr="000046DD">
        <w:rPr>
          <w:color w:val="000000"/>
          <w:sz w:val="22"/>
          <w:szCs w:val="22"/>
        </w:rPr>
        <w:t xml:space="preserve">alternating between the </w:t>
      </w:r>
      <w:r w:rsidR="000046DD" w:rsidRPr="000046DD">
        <w:rPr>
          <w:sz w:val="22"/>
          <w:szCs w:val="22"/>
          <w:u w:val="single"/>
        </w:rPr>
        <w:t>Ceriodaphnia</w:t>
      </w:r>
      <w:r w:rsidR="000046DD" w:rsidRPr="000046DD">
        <w:rPr>
          <w:sz w:val="22"/>
          <w:szCs w:val="22"/>
        </w:rPr>
        <w:t xml:space="preserve"> </w:t>
      </w:r>
      <w:proofErr w:type="spellStart"/>
      <w:r w:rsidR="000046DD" w:rsidRPr="000046DD">
        <w:rPr>
          <w:sz w:val="22"/>
          <w:szCs w:val="22"/>
          <w:u w:val="single"/>
        </w:rPr>
        <w:t>dubia</w:t>
      </w:r>
      <w:proofErr w:type="spellEnd"/>
      <w:r w:rsidR="000046DD" w:rsidRPr="000046DD">
        <w:rPr>
          <w:sz w:val="22"/>
          <w:szCs w:val="22"/>
        </w:rPr>
        <w:t xml:space="preserve"> and </w:t>
      </w:r>
      <w:r w:rsidR="000046DD" w:rsidRPr="000046DD">
        <w:rPr>
          <w:sz w:val="22"/>
          <w:szCs w:val="22"/>
          <w:u w:val="single"/>
        </w:rPr>
        <w:t>Pimephales</w:t>
      </w:r>
      <w:r w:rsidR="000046DD" w:rsidRPr="000046DD">
        <w:rPr>
          <w:sz w:val="22"/>
          <w:szCs w:val="22"/>
        </w:rPr>
        <w:t xml:space="preserve"> </w:t>
      </w:r>
      <w:r w:rsidR="000046DD" w:rsidRPr="000046DD">
        <w:rPr>
          <w:sz w:val="22"/>
          <w:szCs w:val="22"/>
          <w:u w:val="single"/>
        </w:rPr>
        <w:t>promelas</w:t>
      </w:r>
      <w:r w:rsidR="000046DD" w:rsidRPr="000046DD">
        <w:rPr>
          <w:sz w:val="22"/>
          <w:szCs w:val="22"/>
        </w:rPr>
        <w:t xml:space="preserve"> (fathead minnows) species as detailed in the permit. </w:t>
      </w:r>
      <w:r w:rsidR="000046DD">
        <w:rPr>
          <w:sz w:val="22"/>
          <w:szCs w:val="22"/>
        </w:rPr>
        <w:t xml:space="preserve"> This increase to quarterly WET testing is based upon the revised UPDES </w:t>
      </w:r>
      <w:r w:rsidR="000046DD" w:rsidRPr="00DE7149">
        <w:rPr>
          <w:sz w:val="22"/>
          <w:szCs w:val="22"/>
        </w:rPr>
        <w:t xml:space="preserve">Permitting and Enforcement Guidance Document for Whole Effluent Toxicity </w:t>
      </w:r>
      <w:r w:rsidR="000046DD" w:rsidRPr="000046DD">
        <w:rPr>
          <w:sz w:val="22"/>
          <w:szCs w:val="22"/>
        </w:rPr>
        <w:t xml:space="preserve">Control dated </w:t>
      </w:r>
      <w:r w:rsidR="00FD7064">
        <w:rPr>
          <w:sz w:val="22"/>
          <w:szCs w:val="22"/>
        </w:rPr>
        <w:t xml:space="preserve">February </w:t>
      </w:r>
      <w:r w:rsidR="000046DD" w:rsidRPr="000046DD">
        <w:rPr>
          <w:sz w:val="22"/>
          <w:szCs w:val="22"/>
        </w:rPr>
        <w:t>201</w:t>
      </w:r>
      <w:r w:rsidR="00FD7064">
        <w:rPr>
          <w:sz w:val="22"/>
          <w:szCs w:val="22"/>
        </w:rPr>
        <w:t>8</w:t>
      </w:r>
      <w:r w:rsidR="000046DD" w:rsidRPr="000046DD">
        <w:rPr>
          <w:sz w:val="22"/>
          <w:szCs w:val="22"/>
        </w:rPr>
        <w:t>, which requires</w:t>
      </w:r>
      <w:r w:rsidR="000046DD">
        <w:rPr>
          <w:sz w:val="22"/>
          <w:szCs w:val="22"/>
        </w:rPr>
        <w:t xml:space="preserve"> at a minimum quarterly WET testing for all Major facilities. </w:t>
      </w:r>
      <w:r w:rsidR="004603AD" w:rsidRPr="000046DD">
        <w:rPr>
          <w:sz w:val="22"/>
          <w:szCs w:val="22"/>
        </w:rPr>
        <w:t xml:space="preserve"> </w:t>
      </w:r>
      <w:r w:rsidR="000046DD" w:rsidRPr="000046DD">
        <w:rPr>
          <w:sz w:val="22"/>
          <w:szCs w:val="22"/>
        </w:rPr>
        <w:t xml:space="preserve"> </w:t>
      </w:r>
    </w:p>
    <w:p w:rsidR="004603AD" w:rsidRPr="000046DD" w:rsidRDefault="004603AD" w:rsidP="00FD7064">
      <w:pPr>
        <w:jc w:val="right"/>
        <w:rPr>
          <w:color w:val="000000"/>
          <w:sz w:val="22"/>
          <w:szCs w:val="22"/>
        </w:rPr>
      </w:pPr>
    </w:p>
    <w:p w:rsidR="004603AD" w:rsidRPr="004603AD" w:rsidRDefault="004603AD" w:rsidP="004603AD">
      <w:pPr>
        <w:jc w:val="both"/>
        <w:rPr>
          <w:color w:val="000000"/>
          <w:sz w:val="22"/>
          <w:szCs w:val="22"/>
        </w:rPr>
      </w:pPr>
      <w:r w:rsidRPr="000046DD">
        <w:rPr>
          <w:color w:val="000000"/>
          <w:sz w:val="22"/>
          <w:szCs w:val="22"/>
        </w:rPr>
        <w:t xml:space="preserve">The permit will </w:t>
      </w:r>
      <w:r w:rsidR="000046DD">
        <w:rPr>
          <w:color w:val="000000"/>
          <w:sz w:val="22"/>
          <w:szCs w:val="22"/>
        </w:rPr>
        <w:t xml:space="preserve">also </w:t>
      </w:r>
      <w:r w:rsidRPr="000046DD">
        <w:rPr>
          <w:color w:val="000000"/>
          <w:sz w:val="22"/>
          <w:szCs w:val="22"/>
        </w:rPr>
        <w:t>contain the standard requirements for accelerated testing upon failure of a WET test and a PTI (Preliminary Toxicity Investigation) and TRE (Toxicity Reduction Evaluation) as necessary.</w:t>
      </w:r>
      <w:r w:rsidRPr="004603AD">
        <w:rPr>
          <w:color w:val="000000"/>
          <w:sz w:val="22"/>
          <w:szCs w:val="22"/>
        </w:rPr>
        <w:t xml:space="preserve">  </w:t>
      </w:r>
    </w:p>
    <w:p w:rsidR="002A0EB7" w:rsidRDefault="002A0EB7" w:rsidP="00E71B47">
      <w:pPr>
        <w:pStyle w:val="Heading6"/>
        <w:widowControl/>
        <w:tabs>
          <w:tab w:val="left" w:pos="-1440"/>
          <w:tab w:val="left" w:pos="-720"/>
          <w:tab w:val="left" w:pos="0"/>
          <w:tab w:val="left" w:pos="777"/>
          <w:tab w:val="center" w:pos="4334"/>
          <w:tab w:val="center" w:pos="6480"/>
          <w:tab w:val="center" w:pos="8640"/>
        </w:tabs>
        <w:rPr>
          <w:bCs w:val="0"/>
          <w:sz w:val="22"/>
          <w:szCs w:val="22"/>
        </w:rPr>
      </w:pPr>
    </w:p>
    <w:p w:rsidR="00E71B47" w:rsidRPr="00DE7149" w:rsidRDefault="003D563C" w:rsidP="00E71B47">
      <w:pPr>
        <w:pStyle w:val="Heading6"/>
        <w:widowControl/>
        <w:tabs>
          <w:tab w:val="left" w:pos="-1440"/>
          <w:tab w:val="left" w:pos="-720"/>
          <w:tab w:val="left" w:pos="0"/>
          <w:tab w:val="left" w:pos="777"/>
          <w:tab w:val="center" w:pos="4334"/>
          <w:tab w:val="center" w:pos="6480"/>
          <w:tab w:val="center" w:pos="8640"/>
        </w:tabs>
        <w:rPr>
          <w:bCs w:val="0"/>
          <w:sz w:val="22"/>
          <w:szCs w:val="22"/>
        </w:rPr>
      </w:pPr>
      <w:r>
        <w:rPr>
          <w:bCs w:val="0"/>
          <w:sz w:val="22"/>
          <w:szCs w:val="22"/>
        </w:rPr>
        <w:t>P</w:t>
      </w:r>
      <w:r w:rsidR="00E71B47" w:rsidRPr="00DE7149">
        <w:rPr>
          <w:bCs w:val="0"/>
          <w:sz w:val="22"/>
          <w:szCs w:val="22"/>
        </w:rPr>
        <w:t>ERMIT DURATION</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sz w:val="22"/>
          <w:szCs w:val="22"/>
        </w:rPr>
      </w:pPr>
    </w:p>
    <w:p w:rsidR="00E71B47" w:rsidRPr="00DE7149" w:rsidRDefault="00E71B47" w:rsidP="00E71B47">
      <w:pPr>
        <w:pStyle w:val="BodyText"/>
        <w:tabs>
          <w:tab w:val="left" w:pos="-1440"/>
          <w:tab w:val="left" w:pos="-720"/>
          <w:tab w:val="left" w:pos="0"/>
          <w:tab w:val="left" w:pos="777"/>
          <w:tab w:val="center" w:pos="4334"/>
          <w:tab w:val="center" w:pos="6480"/>
          <w:tab w:val="center" w:pos="8640"/>
        </w:tabs>
        <w:rPr>
          <w:bCs w:val="0"/>
          <w:sz w:val="22"/>
          <w:szCs w:val="22"/>
        </w:rPr>
      </w:pPr>
      <w:r w:rsidRPr="00DE7149">
        <w:rPr>
          <w:bCs w:val="0"/>
          <w:sz w:val="22"/>
          <w:szCs w:val="22"/>
        </w:rPr>
        <w:t xml:space="preserve">It is recommended that this permit be effective for </w:t>
      </w:r>
      <w:proofErr w:type="gramStart"/>
      <w:r w:rsidRPr="00DE7149">
        <w:rPr>
          <w:bCs w:val="0"/>
          <w:sz w:val="22"/>
          <w:szCs w:val="22"/>
        </w:rPr>
        <w:t>a duration</w:t>
      </w:r>
      <w:proofErr w:type="gramEnd"/>
      <w:r w:rsidRPr="00DE7149">
        <w:rPr>
          <w:bCs w:val="0"/>
          <w:sz w:val="22"/>
          <w:szCs w:val="22"/>
        </w:rPr>
        <w:t xml:space="preserve"> of five (5) years.</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sz w:val="22"/>
          <w:szCs w:val="22"/>
        </w:rPr>
      </w:pPr>
    </w:p>
    <w:p w:rsidR="00E71B47"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r w:rsidRPr="00DE7149">
        <w:rPr>
          <w:sz w:val="22"/>
          <w:szCs w:val="22"/>
        </w:rPr>
        <w:t>Drafted by</w:t>
      </w:r>
    </w:p>
    <w:p w:rsidR="00263491" w:rsidRPr="00DE7149" w:rsidRDefault="00263491" w:rsidP="00E71B47">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Jeff Studenka, Discharge</w:t>
      </w:r>
    </w:p>
    <w:p w:rsidR="00E17349" w:rsidRPr="00405916" w:rsidRDefault="00263491" w:rsidP="00E17349">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 xml:space="preserve">Daniel Griffin, </w:t>
      </w:r>
      <w:r w:rsidR="00E17349" w:rsidRPr="00405916">
        <w:rPr>
          <w:sz w:val="22"/>
          <w:szCs w:val="22"/>
        </w:rPr>
        <w:t>Biosolids</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Jennifer Robinson, Pretreatment</w:t>
      </w:r>
    </w:p>
    <w:p w:rsidR="00E17349"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Michael George, Storm Water</w:t>
      </w:r>
    </w:p>
    <w:p w:rsidR="00192616" w:rsidRPr="00405916" w:rsidRDefault="00192616" w:rsidP="00E17349">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Lonnie Shull, Biomonitoring</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Nick von Stackelberg, Wasteload Analysis</w:t>
      </w:r>
      <w:r w:rsidR="00263491">
        <w:rPr>
          <w:sz w:val="22"/>
          <w:szCs w:val="22"/>
        </w:rPr>
        <w:t xml:space="preserve"> &amp; Antidegradation Review</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Utah Division of Water Quality, (801) 536-4300</w:t>
      </w:r>
    </w:p>
    <w:p w:rsidR="00E71B47"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p>
    <w:p w:rsidR="00E71B47" w:rsidRDefault="002A0EB7" w:rsidP="002A0EB7">
      <w:pPr>
        <w:widowControl/>
        <w:tabs>
          <w:tab w:val="left" w:pos="-1440"/>
          <w:tab w:val="left" w:pos="-720"/>
          <w:tab w:val="left" w:pos="0"/>
          <w:tab w:val="left" w:pos="777"/>
          <w:tab w:val="left" w:pos="2316"/>
          <w:tab w:val="center" w:pos="4334"/>
          <w:tab w:val="center" w:pos="6480"/>
          <w:tab w:val="center" w:pos="8640"/>
        </w:tabs>
        <w:rPr>
          <w:sz w:val="22"/>
          <w:szCs w:val="22"/>
        </w:rPr>
      </w:pPr>
      <w:r>
        <w:rPr>
          <w:sz w:val="22"/>
          <w:szCs w:val="22"/>
        </w:rPr>
        <w:tab/>
      </w:r>
      <w:r>
        <w:rPr>
          <w:sz w:val="22"/>
          <w:szCs w:val="22"/>
        </w:rPr>
        <w:tab/>
      </w:r>
      <w:r>
        <w:rPr>
          <w:sz w:val="22"/>
          <w:szCs w:val="22"/>
        </w:rPr>
        <w:tab/>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b/>
          <w:sz w:val="22"/>
          <w:szCs w:val="22"/>
        </w:rPr>
      </w:pPr>
      <w:r w:rsidRPr="00405916">
        <w:rPr>
          <w:b/>
          <w:sz w:val="22"/>
          <w:szCs w:val="22"/>
        </w:rPr>
        <w:t>PUBLIC NOTICE</w:t>
      </w:r>
      <w:r w:rsidR="00F01ED8">
        <w:rPr>
          <w:b/>
          <w:sz w:val="22"/>
          <w:szCs w:val="22"/>
        </w:rPr>
        <w:t xml:space="preserve"> INFORMATION (Updated September 30, 2018)</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Began: </w:t>
      </w:r>
      <w:r w:rsidR="00F01ED8">
        <w:rPr>
          <w:sz w:val="22"/>
          <w:szCs w:val="22"/>
        </w:rPr>
        <w:t>August 29, 2018</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Ended: </w:t>
      </w:r>
      <w:r w:rsidR="00F01ED8">
        <w:rPr>
          <w:sz w:val="22"/>
          <w:szCs w:val="22"/>
        </w:rPr>
        <w:t>September 29, 2018</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F01ED8" w:rsidP="00E17349">
      <w:pPr>
        <w:widowControl/>
        <w:tabs>
          <w:tab w:val="left" w:pos="-1440"/>
          <w:tab w:val="left" w:pos="-720"/>
          <w:tab w:val="left" w:pos="0"/>
          <w:tab w:val="left" w:pos="777"/>
          <w:tab w:val="center" w:pos="4334"/>
          <w:tab w:val="center" w:pos="6480"/>
          <w:tab w:val="center" w:pos="8640"/>
        </w:tabs>
        <w:jc w:val="both"/>
        <w:rPr>
          <w:sz w:val="22"/>
          <w:szCs w:val="22"/>
        </w:rPr>
      </w:pPr>
      <w:r>
        <w:rPr>
          <w:sz w:val="22"/>
          <w:szCs w:val="22"/>
        </w:rPr>
        <w:t>The Public Notice</w:t>
      </w:r>
      <w:r w:rsidR="00E17349" w:rsidRPr="00405916">
        <w:rPr>
          <w:sz w:val="22"/>
          <w:szCs w:val="22"/>
        </w:rPr>
        <w:t xml:space="preserve"> of the dr</w:t>
      </w:r>
      <w:r>
        <w:rPr>
          <w:sz w:val="22"/>
          <w:szCs w:val="22"/>
        </w:rPr>
        <w:t xml:space="preserve">aft </w:t>
      </w:r>
      <w:r w:rsidR="00E153C6">
        <w:rPr>
          <w:sz w:val="22"/>
          <w:szCs w:val="22"/>
        </w:rPr>
        <w:t xml:space="preserve">renewal </w:t>
      </w:r>
      <w:r>
        <w:rPr>
          <w:sz w:val="22"/>
          <w:szCs w:val="22"/>
        </w:rPr>
        <w:t>permit was published in The Tremonton Leader-Garland Times</w:t>
      </w:r>
      <w:r w:rsidR="00E153C6">
        <w:rPr>
          <w:sz w:val="22"/>
          <w:szCs w:val="22"/>
        </w:rPr>
        <w:t xml:space="preserve"> at the beginning of the public comment period</w:t>
      </w:r>
      <w:r w:rsidR="00E17349" w:rsidRPr="00405916">
        <w:rPr>
          <w:sz w:val="22"/>
          <w:szCs w:val="22"/>
        </w:rPr>
        <w:t>.</w:t>
      </w:r>
    </w:p>
    <w:p w:rsidR="00E17349" w:rsidRPr="00405916" w:rsidRDefault="00E17349" w:rsidP="00E17349">
      <w:pPr>
        <w:widowControl/>
        <w:tabs>
          <w:tab w:val="left" w:pos="-1440"/>
          <w:tab w:val="left" w:pos="-720"/>
          <w:tab w:val="left" w:pos="0"/>
          <w:tab w:val="left" w:pos="6480"/>
        </w:tabs>
        <w:jc w:val="both"/>
        <w:rPr>
          <w:sz w:val="22"/>
          <w:szCs w:val="22"/>
        </w:rPr>
      </w:pPr>
      <w:r>
        <w:rPr>
          <w:sz w:val="22"/>
          <w:szCs w:val="22"/>
        </w:rPr>
        <w:tab/>
      </w:r>
    </w:p>
    <w:p w:rsidR="00E153C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During the public comment period provided under R317-8-6.5, any interested person may submit written comments on the draft permit and may request a public hearing, if no hearing has already been scheduled. A request for a public hearing shall be in writing and shall state the nature of the issues proposed to be </w:t>
      </w:r>
      <w:r w:rsidRPr="00405916">
        <w:rPr>
          <w:sz w:val="22"/>
          <w:szCs w:val="22"/>
        </w:rPr>
        <w:lastRenderedPageBreak/>
        <w:t>raised in the hearing. All comments will be considered in making the final decision and shall be answered as provided in R317-8-6.12.</w:t>
      </w:r>
      <w:r w:rsidR="00F01ED8">
        <w:rPr>
          <w:sz w:val="22"/>
          <w:szCs w:val="22"/>
        </w:rPr>
        <w:t xml:space="preserve">  </w:t>
      </w:r>
    </w:p>
    <w:p w:rsidR="00E153C6" w:rsidRDefault="00E153C6"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F01ED8" w:rsidP="00E17349">
      <w:pPr>
        <w:widowControl/>
        <w:tabs>
          <w:tab w:val="left" w:pos="-1440"/>
          <w:tab w:val="left" w:pos="-720"/>
          <w:tab w:val="left" w:pos="0"/>
          <w:tab w:val="left" w:pos="777"/>
          <w:tab w:val="center" w:pos="4334"/>
          <w:tab w:val="center" w:pos="6480"/>
          <w:tab w:val="center" w:pos="8640"/>
        </w:tabs>
        <w:jc w:val="both"/>
        <w:rPr>
          <w:sz w:val="22"/>
          <w:szCs w:val="22"/>
        </w:rPr>
      </w:pPr>
      <w:r>
        <w:rPr>
          <w:sz w:val="22"/>
          <w:szCs w:val="22"/>
        </w:rPr>
        <w:t xml:space="preserve">No comments were received during the public comment period. Staff recommends reissuance of the </w:t>
      </w:r>
      <w:r w:rsidR="00E153C6">
        <w:rPr>
          <w:sz w:val="22"/>
          <w:szCs w:val="22"/>
        </w:rPr>
        <w:t xml:space="preserve">UPDES </w:t>
      </w:r>
      <w:r>
        <w:rPr>
          <w:sz w:val="22"/>
          <w:szCs w:val="22"/>
        </w:rPr>
        <w:t>permit as drafted.</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134AD0" w:rsidRDefault="00134AD0" w:rsidP="00134AD0">
      <w:pPr>
        <w:widowControl/>
        <w:tabs>
          <w:tab w:val="left" w:pos="-1440"/>
          <w:tab w:val="left" w:pos="-720"/>
          <w:tab w:val="left" w:pos="0"/>
          <w:tab w:val="left" w:pos="777"/>
          <w:tab w:val="center" w:pos="4334"/>
          <w:tab w:val="center" w:pos="6480"/>
          <w:tab w:val="center" w:pos="8640"/>
        </w:tabs>
        <w:rPr>
          <w:b/>
          <w:sz w:val="22"/>
          <w:szCs w:val="22"/>
          <w:u w:val="single"/>
        </w:rPr>
      </w:pPr>
    </w:p>
    <w:p w:rsidR="00E17349" w:rsidRPr="00405916" w:rsidRDefault="00E17349" w:rsidP="00134AD0">
      <w:pPr>
        <w:widowControl/>
        <w:tabs>
          <w:tab w:val="left" w:pos="-1440"/>
          <w:tab w:val="left" w:pos="-720"/>
          <w:tab w:val="left" w:pos="0"/>
          <w:tab w:val="left" w:pos="777"/>
          <w:tab w:val="center" w:pos="4334"/>
          <w:tab w:val="center" w:pos="6480"/>
          <w:tab w:val="center" w:pos="8640"/>
        </w:tabs>
        <w:rPr>
          <w:b/>
          <w:sz w:val="22"/>
          <w:szCs w:val="22"/>
          <w:u w:val="single"/>
        </w:rPr>
      </w:pPr>
      <w:r w:rsidRPr="00405916">
        <w:rPr>
          <w:b/>
          <w:sz w:val="22"/>
          <w:szCs w:val="22"/>
          <w:u w:val="single"/>
        </w:rPr>
        <w:t>ADDENDUM TO FSSOB</w:t>
      </w:r>
    </w:p>
    <w:p w:rsidR="00E17349" w:rsidRPr="00405916" w:rsidRDefault="00E17349" w:rsidP="00E17349">
      <w:pPr>
        <w:widowControl/>
        <w:tabs>
          <w:tab w:val="left" w:pos="-1440"/>
          <w:tab w:val="left" w:pos="-720"/>
          <w:tab w:val="left" w:pos="0"/>
          <w:tab w:val="left" w:pos="777"/>
          <w:tab w:val="center" w:pos="4334"/>
          <w:tab w:val="center" w:pos="6480"/>
          <w:tab w:val="center" w:pos="8640"/>
        </w:tabs>
        <w:rPr>
          <w:sz w:val="22"/>
          <w:szCs w:val="22"/>
        </w:rPr>
      </w:pPr>
    </w:p>
    <w:p w:rsidR="00E17349" w:rsidRDefault="00134AD0" w:rsidP="00151518">
      <w:pPr>
        <w:widowControl/>
        <w:jc w:val="both"/>
        <w:rPr>
          <w:bCs/>
          <w:sz w:val="22"/>
          <w:szCs w:val="22"/>
        </w:rPr>
      </w:pPr>
      <w:r>
        <w:rPr>
          <w:bCs/>
          <w:sz w:val="22"/>
          <w:szCs w:val="22"/>
        </w:rPr>
        <w:t>Attachment 1: Wasteload Analysis</w:t>
      </w:r>
    </w:p>
    <w:p w:rsidR="00134AD0" w:rsidRDefault="00134AD0" w:rsidP="00151518">
      <w:pPr>
        <w:widowControl/>
        <w:jc w:val="both"/>
        <w:rPr>
          <w:bCs/>
          <w:sz w:val="22"/>
          <w:szCs w:val="22"/>
        </w:rPr>
      </w:pPr>
    </w:p>
    <w:p w:rsidR="00ED2111" w:rsidRPr="00ED2111" w:rsidRDefault="00ED2111" w:rsidP="00151518">
      <w:pPr>
        <w:widowControl/>
        <w:jc w:val="both"/>
        <w:rPr>
          <w:bCs/>
          <w:sz w:val="16"/>
          <w:szCs w:val="16"/>
        </w:rPr>
      </w:pPr>
      <w:r w:rsidRPr="00ED2111">
        <w:rPr>
          <w:bCs/>
          <w:sz w:val="16"/>
          <w:szCs w:val="16"/>
        </w:rPr>
        <w:t>DWQ-2018-005662</w:t>
      </w:r>
    </w:p>
    <w:p w:rsidR="00ED2111" w:rsidRPr="00ED2111" w:rsidRDefault="00ED2111" w:rsidP="00151518">
      <w:pPr>
        <w:widowControl/>
        <w:jc w:val="both"/>
        <w:rPr>
          <w:bCs/>
          <w:sz w:val="16"/>
          <w:szCs w:val="16"/>
        </w:rPr>
        <w:sectPr w:rsidR="00ED2111" w:rsidRPr="00ED2111" w:rsidSect="00A8432D">
          <w:headerReference w:type="even" r:id="rId8"/>
          <w:headerReference w:type="default" r:id="rId9"/>
          <w:headerReference w:type="first" r:id="rId10"/>
          <w:endnotePr>
            <w:numFmt w:val="decimal"/>
          </w:endnotePr>
          <w:pgSz w:w="12240" w:h="15840"/>
          <w:pgMar w:top="1440" w:right="1440" w:bottom="1080" w:left="1440" w:header="720" w:footer="720" w:gutter="0"/>
          <w:cols w:space="720"/>
          <w:noEndnote/>
          <w:docGrid w:linePitch="326"/>
        </w:sectPr>
      </w:pPr>
      <w:bookmarkStart w:id="0" w:name="_GoBack"/>
      <w:bookmarkEnd w:id="0"/>
    </w:p>
    <w:p w:rsidR="00E71B47" w:rsidRDefault="00E71B47" w:rsidP="00151518">
      <w:pPr>
        <w:widowControl/>
        <w:jc w:val="both"/>
        <w:rPr>
          <w:bCs/>
          <w:sz w:val="22"/>
          <w:szCs w:val="22"/>
        </w:rPr>
      </w:pPr>
    </w:p>
    <w:p w:rsidR="00E17349" w:rsidRPr="00695436" w:rsidRDefault="00E17349" w:rsidP="00E17349">
      <w:pPr>
        <w:widowControl/>
        <w:spacing w:after="200" w:line="276" w:lineRule="auto"/>
        <w:jc w:val="center"/>
        <w:rPr>
          <w:sz w:val="22"/>
          <w:szCs w:val="40"/>
        </w:rPr>
      </w:pPr>
      <w:r w:rsidRPr="00695436">
        <w:rPr>
          <w:sz w:val="22"/>
          <w:szCs w:val="40"/>
        </w:rPr>
        <w:t>This Page Inte</w:t>
      </w:r>
      <w:r>
        <w:rPr>
          <w:sz w:val="22"/>
          <w:szCs w:val="40"/>
        </w:rPr>
        <w:t>nt</w:t>
      </w:r>
      <w:r w:rsidRPr="00695436">
        <w:rPr>
          <w:sz w:val="22"/>
          <w:szCs w:val="40"/>
        </w:rPr>
        <w:t>ionally Left Blank</w:t>
      </w:r>
    </w:p>
    <w:p w:rsidR="00E17349" w:rsidRDefault="00E17349" w:rsidP="00151518">
      <w:pPr>
        <w:widowControl/>
        <w:jc w:val="both"/>
        <w:rPr>
          <w:bCs/>
          <w:sz w:val="22"/>
          <w:szCs w:val="22"/>
        </w:rPr>
      </w:pPr>
    </w:p>
    <w:p w:rsidR="00E17349" w:rsidRDefault="00E17349" w:rsidP="00151518">
      <w:pPr>
        <w:widowControl/>
        <w:jc w:val="both"/>
        <w:rPr>
          <w:bCs/>
          <w:sz w:val="22"/>
          <w:szCs w:val="22"/>
        </w:rPr>
        <w:sectPr w:rsidR="00E17349" w:rsidSect="00E17349">
          <w:endnotePr>
            <w:numFmt w:val="decimal"/>
          </w:endnotePr>
          <w:pgSz w:w="12240" w:h="15840"/>
          <w:pgMar w:top="1440" w:right="1440" w:bottom="1080" w:left="1440" w:header="720" w:footer="720" w:gutter="0"/>
          <w:cols w:space="720"/>
          <w:vAlign w:val="center"/>
          <w:noEndnote/>
          <w:docGrid w:linePitch="326"/>
        </w:sectPr>
      </w:pPr>
    </w:p>
    <w:p w:rsidR="00E17349" w:rsidRDefault="00E17349" w:rsidP="00E17349">
      <w:pPr>
        <w:widowControl/>
        <w:jc w:val="center"/>
        <w:rPr>
          <w:i/>
          <w:sz w:val="22"/>
          <w:szCs w:val="22"/>
        </w:rPr>
      </w:pPr>
    </w:p>
    <w:p w:rsidR="00B95BE9" w:rsidRDefault="00B95BE9" w:rsidP="00E17349">
      <w:pPr>
        <w:widowControl/>
        <w:jc w:val="center"/>
        <w:rPr>
          <w:b/>
          <w:sz w:val="40"/>
          <w:szCs w:val="40"/>
        </w:rPr>
      </w:pPr>
    </w:p>
    <w:p w:rsidR="00B95BE9" w:rsidRDefault="00B95BE9" w:rsidP="00E17349">
      <w:pPr>
        <w:widowControl/>
        <w:jc w:val="center"/>
        <w:rPr>
          <w:b/>
          <w:sz w:val="40"/>
          <w:szCs w:val="40"/>
        </w:rPr>
      </w:pPr>
    </w:p>
    <w:p w:rsidR="00B95BE9" w:rsidRDefault="00B95BE9" w:rsidP="00E17349">
      <w:pPr>
        <w:widowControl/>
        <w:jc w:val="center"/>
        <w:rPr>
          <w:b/>
          <w:sz w:val="40"/>
          <w:szCs w:val="40"/>
        </w:rPr>
      </w:pPr>
    </w:p>
    <w:p w:rsidR="00B95BE9" w:rsidRDefault="00B95BE9" w:rsidP="00E17349">
      <w:pPr>
        <w:widowControl/>
        <w:jc w:val="center"/>
        <w:rPr>
          <w:b/>
          <w:sz w:val="40"/>
          <w:szCs w:val="40"/>
        </w:rPr>
      </w:pPr>
    </w:p>
    <w:p w:rsidR="00B95BE9" w:rsidRDefault="00B95BE9" w:rsidP="00E17349">
      <w:pPr>
        <w:widowControl/>
        <w:jc w:val="center"/>
        <w:rPr>
          <w:b/>
          <w:sz w:val="40"/>
          <w:szCs w:val="40"/>
        </w:rPr>
      </w:pPr>
    </w:p>
    <w:p w:rsidR="00B95BE9" w:rsidRDefault="00B95BE9" w:rsidP="00E17349">
      <w:pPr>
        <w:widowControl/>
        <w:jc w:val="center"/>
        <w:rPr>
          <w:b/>
          <w:sz w:val="40"/>
          <w:szCs w:val="40"/>
        </w:rPr>
      </w:pPr>
    </w:p>
    <w:p w:rsidR="00B95BE9" w:rsidRDefault="00B95BE9" w:rsidP="00E17349">
      <w:pPr>
        <w:widowControl/>
        <w:jc w:val="center"/>
        <w:rPr>
          <w:b/>
          <w:sz w:val="40"/>
          <w:szCs w:val="40"/>
        </w:rPr>
      </w:pPr>
    </w:p>
    <w:p w:rsidR="00E17349" w:rsidRDefault="00E17349" w:rsidP="00E17349">
      <w:pPr>
        <w:widowControl/>
        <w:jc w:val="center"/>
        <w:rPr>
          <w:b/>
          <w:sz w:val="40"/>
          <w:szCs w:val="40"/>
        </w:rPr>
      </w:pPr>
      <w:r w:rsidRPr="005C1EF3">
        <w:rPr>
          <w:b/>
          <w:sz w:val="40"/>
          <w:szCs w:val="40"/>
        </w:rPr>
        <w:t xml:space="preserve">ATTACHMENT </w:t>
      </w:r>
      <w:r>
        <w:rPr>
          <w:b/>
          <w:sz w:val="40"/>
          <w:szCs w:val="40"/>
        </w:rPr>
        <w:t>1</w:t>
      </w:r>
    </w:p>
    <w:p w:rsidR="00B95BE9" w:rsidRDefault="00B95BE9" w:rsidP="00E17349">
      <w:pPr>
        <w:widowControl/>
        <w:jc w:val="center"/>
        <w:rPr>
          <w:i/>
          <w:sz w:val="40"/>
          <w:szCs w:val="40"/>
        </w:rPr>
      </w:pPr>
    </w:p>
    <w:p w:rsidR="00E17349" w:rsidRDefault="00B95BE9" w:rsidP="00E17349">
      <w:pPr>
        <w:widowControl/>
        <w:jc w:val="center"/>
        <w:rPr>
          <w:b/>
          <w:sz w:val="40"/>
          <w:szCs w:val="40"/>
        </w:rPr>
      </w:pPr>
      <w:r>
        <w:rPr>
          <w:i/>
          <w:sz w:val="40"/>
          <w:szCs w:val="40"/>
        </w:rPr>
        <w:t>Wasteload Analysis</w:t>
      </w:r>
    </w:p>
    <w:p w:rsidR="00E17349" w:rsidRDefault="00E17349" w:rsidP="00E17349">
      <w:pPr>
        <w:widowControl/>
        <w:spacing w:after="200" w:line="276" w:lineRule="auto"/>
        <w:rPr>
          <w:i/>
          <w:szCs w:val="22"/>
        </w:rPr>
      </w:pPr>
      <w:r w:rsidRPr="000230DD">
        <w:rPr>
          <w:i/>
          <w:sz w:val="22"/>
          <w:szCs w:val="22"/>
        </w:rPr>
        <w:br w:type="page"/>
      </w:r>
    </w:p>
    <w:p w:rsidR="00B95BE9" w:rsidRDefault="00B95BE9" w:rsidP="00B95BE9">
      <w:pPr>
        <w:widowControl/>
        <w:spacing w:after="200" w:line="276" w:lineRule="auto"/>
        <w:jc w:val="center"/>
        <w:rPr>
          <w:sz w:val="22"/>
          <w:szCs w:val="40"/>
        </w:rPr>
      </w:pPr>
    </w:p>
    <w:p w:rsidR="00B95BE9" w:rsidRDefault="00B95BE9" w:rsidP="00B95BE9">
      <w:pPr>
        <w:widowControl/>
        <w:spacing w:after="200" w:line="276" w:lineRule="auto"/>
        <w:jc w:val="center"/>
        <w:rPr>
          <w:sz w:val="22"/>
          <w:szCs w:val="40"/>
        </w:rPr>
      </w:pPr>
    </w:p>
    <w:p w:rsidR="00B95BE9" w:rsidRDefault="00B95BE9" w:rsidP="00B95BE9">
      <w:pPr>
        <w:widowControl/>
        <w:spacing w:after="200" w:line="276" w:lineRule="auto"/>
        <w:jc w:val="center"/>
        <w:rPr>
          <w:sz w:val="22"/>
          <w:szCs w:val="40"/>
        </w:rPr>
      </w:pPr>
    </w:p>
    <w:p w:rsidR="00B95BE9" w:rsidRDefault="00B95BE9" w:rsidP="00B95BE9">
      <w:pPr>
        <w:widowControl/>
        <w:spacing w:after="200" w:line="276" w:lineRule="auto"/>
        <w:jc w:val="center"/>
        <w:rPr>
          <w:sz w:val="22"/>
          <w:szCs w:val="40"/>
        </w:rPr>
      </w:pPr>
    </w:p>
    <w:p w:rsidR="00B95BE9" w:rsidRDefault="00B95BE9" w:rsidP="00B95BE9">
      <w:pPr>
        <w:widowControl/>
        <w:spacing w:after="200" w:line="276" w:lineRule="auto"/>
        <w:jc w:val="center"/>
        <w:rPr>
          <w:sz w:val="22"/>
          <w:szCs w:val="40"/>
        </w:rPr>
      </w:pPr>
    </w:p>
    <w:p w:rsidR="00B95BE9" w:rsidRDefault="00B95BE9" w:rsidP="00B95BE9">
      <w:pPr>
        <w:widowControl/>
        <w:spacing w:after="200" w:line="276" w:lineRule="auto"/>
        <w:jc w:val="center"/>
        <w:rPr>
          <w:sz w:val="22"/>
          <w:szCs w:val="40"/>
        </w:rPr>
      </w:pPr>
    </w:p>
    <w:p w:rsidR="00E17349" w:rsidRDefault="00E17349" w:rsidP="00B95BE9">
      <w:pPr>
        <w:widowControl/>
        <w:spacing w:after="200" w:line="276" w:lineRule="auto"/>
        <w:jc w:val="center"/>
        <w:rPr>
          <w:b/>
          <w:sz w:val="40"/>
          <w:szCs w:val="40"/>
        </w:rPr>
      </w:pPr>
      <w:r w:rsidRPr="00695436">
        <w:rPr>
          <w:sz w:val="22"/>
          <w:szCs w:val="40"/>
        </w:rPr>
        <w:t>This Page Inte</w:t>
      </w:r>
      <w:r>
        <w:rPr>
          <w:sz w:val="22"/>
          <w:szCs w:val="40"/>
        </w:rPr>
        <w:t>nt</w:t>
      </w:r>
      <w:r w:rsidR="00B95BE9">
        <w:rPr>
          <w:sz w:val="22"/>
          <w:szCs w:val="40"/>
        </w:rPr>
        <w:t>ionally Left Blank</w:t>
      </w:r>
    </w:p>
    <w:p w:rsidR="00E17349" w:rsidRDefault="00E17349" w:rsidP="00E17349">
      <w:pPr>
        <w:widowControl/>
        <w:jc w:val="center"/>
        <w:rPr>
          <w:b/>
          <w:sz w:val="40"/>
          <w:szCs w:val="40"/>
        </w:rPr>
      </w:pPr>
    </w:p>
    <w:p w:rsidR="00E17349" w:rsidRDefault="00E17349" w:rsidP="00E17349">
      <w:pPr>
        <w:widowControl/>
        <w:jc w:val="center"/>
        <w:rPr>
          <w:b/>
          <w:sz w:val="40"/>
          <w:szCs w:val="40"/>
        </w:rPr>
      </w:pPr>
    </w:p>
    <w:p w:rsidR="00E17349" w:rsidRPr="005C1EF3" w:rsidRDefault="00E17349" w:rsidP="00E17349">
      <w:pPr>
        <w:widowControl/>
        <w:jc w:val="center"/>
        <w:rPr>
          <w:i/>
          <w:sz w:val="40"/>
          <w:szCs w:val="40"/>
        </w:rPr>
      </w:pPr>
    </w:p>
    <w:p w:rsidR="00E17349" w:rsidRDefault="00E17349" w:rsidP="00E17349">
      <w:pPr>
        <w:widowControl/>
        <w:tabs>
          <w:tab w:val="left" w:pos="-1440"/>
          <w:tab w:val="left" w:pos="-720"/>
          <w:tab w:val="left" w:pos="0"/>
          <w:tab w:val="left" w:pos="777"/>
          <w:tab w:val="center" w:pos="4334"/>
          <w:tab w:val="center" w:pos="6480"/>
          <w:tab w:val="center" w:pos="8640"/>
        </w:tabs>
        <w:rPr>
          <w:sz w:val="16"/>
          <w:szCs w:val="16"/>
        </w:rPr>
      </w:pPr>
    </w:p>
    <w:p w:rsidR="00A7743F" w:rsidRPr="000602CB" w:rsidRDefault="00A7743F" w:rsidP="00DE7149">
      <w:pPr>
        <w:widowControl/>
        <w:tabs>
          <w:tab w:val="left" w:pos="-1440"/>
          <w:tab w:val="left" w:pos="-720"/>
          <w:tab w:val="left" w:pos="0"/>
          <w:tab w:val="left" w:pos="777"/>
          <w:tab w:val="center" w:pos="4334"/>
          <w:tab w:val="center" w:pos="6480"/>
          <w:tab w:val="center" w:pos="8640"/>
        </w:tabs>
        <w:rPr>
          <w:sz w:val="16"/>
          <w:szCs w:val="16"/>
        </w:rPr>
      </w:pPr>
    </w:p>
    <w:sectPr w:rsidR="00A7743F" w:rsidRPr="000602CB" w:rsidSect="00E17349">
      <w:headerReference w:type="even" r:id="rId11"/>
      <w:headerReference w:type="default" r:id="rId12"/>
      <w:headerReference w:type="first" r:id="rId13"/>
      <w:endnotePr>
        <w:numFmt w:val="decimal"/>
      </w:endnotePr>
      <w:pgSz w:w="12240" w:h="15840"/>
      <w:pgMar w:top="1440" w:right="1080" w:bottom="1440" w:left="153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4B" w:rsidRDefault="00A9494B">
      <w:r>
        <w:separator/>
      </w:r>
    </w:p>
  </w:endnote>
  <w:endnote w:type="continuationSeparator" w:id="0">
    <w:p w:rsidR="00A9494B" w:rsidRDefault="00A9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4B" w:rsidRDefault="00A9494B">
      <w:r>
        <w:separator/>
      </w:r>
    </w:p>
  </w:footnote>
  <w:footnote w:type="continuationSeparator" w:id="0">
    <w:p w:rsidR="00A9494B" w:rsidRDefault="00A9494B">
      <w:r>
        <w:continuationSeparator/>
      </w:r>
    </w:p>
  </w:footnote>
  <w:footnote w:id="1">
    <w:p w:rsidR="00FA0B43" w:rsidRDefault="00FA0B43" w:rsidP="00770A3B">
      <w:pPr>
        <w:pStyle w:val="FootnoteText"/>
      </w:pPr>
      <w:r>
        <w:rPr>
          <w:rStyle w:val="FootnoteReference"/>
        </w:rPr>
        <w:footnoteRef/>
      </w:r>
      <w:r>
        <w:t xml:space="preserve"> CPLR -- Cumulative Pollutant Loading Rate</w:t>
      </w:r>
    </w:p>
  </w:footnote>
  <w:footnote w:id="2">
    <w:p w:rsidR="00FA0B43" w:rsidRDefault="00FA0B43" w:rsidP="00770A3B">
      <w:pPr>
        <w:pStyle w:val="FootnoteText"/>
      </w:pPr>
      <w:r>
        <w:rPr>
          <w:rStyle w:val="FootnoteReference"/>
        </w:rPr>
        <w:footnoteRef/>
      </w:r>
      <w:r>
        <w:t xml:space="preserve"> APLR – Annual Pollutant Loading Rate</w:t>
      </w:r>
    </w:p>
  </w:footnote>
  <w:footnote w:id="3">
    <w:p w:rsidR="00FA0B43" w:rsidRDefault="00FA0B43" w:rsidP="00770A3B">
      <w:pPr>
        <w:pStyle w:val="FootnoteText"/>
      </w:pPr>
      <w:r>
        <w:rPr>
          <w:rStyle w:val="FootnoteReference"/>
        </w:rPr>
        <w:footnoteRef/>
      </w:r>
      <w:r>
        <w:t xml:space="preserve"> </w:t>
      </w:r>
      <w:r>
        <w:rPr>
          <w:color w:val="000000"/>
          <w:szCs w:val="24"/>
        </w:rPr>
        <w:t>MPN –Most Probable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3" w:rsidRDefault="00FA0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3" w:rsidRDefault="00FA0B43" w:rsidP="00FC5506">
    <w:pPr>
      <w:pStyle w:val="Header"/>
      <w:jc w:val="right"/>
    </w:pPr>
    <w:r>
      <w:tab/>
    </w:r>
    <w:r>
      <w:tab/>
    </w:r>
  </w:p>
  <w:sdt>
    <w:sdtPr>
      <w:id w:val="580250728"/>
      <w:docPartObj>
        <w:docPartGallery w:val="Page Numbers (Top of Page)"/>
        <w:docPartUnique/>
      </w:docPartObj>
    </w:sdtPr>
    <w:sdtEndPr>
      <w:rPr>
        <w:noProof/>
      </w:rPr>
    </w:sdtEndPr>
    <w:sdtContent>
      <w:p w:rsidR="00FA0B43" w:rsidRDefault="00FA0B43" w:rsidP="00EB1EB2">
        <w:pPr>
          <w:pStyle w:val="Header"/>
          <w:jc w:val="right"/>
        </w:pPr>
        <w:r>
          <w:t>Facility Name FSSOB</w:t>
        </w:r>
      </w:p>
      <w:p w:rsidR="00FA0B43" w:rsidRPr="00C7135B" w:rsidRDefault="00FA0B43" w:rsidP="00EB1EB2">
        <w:pPr>
          <w:pStyle w:val="Header"/>
          <w:jc w:val="right"/>
        </w:pPr>
        <w:r w:rsidRPr="00C7135B">
          <w:t>UT0020303</w:t>
        </w:r>
      </w:p>
      <w:p w:rsidR="00FA0B43" w:rsidRDefault="00FA0B43" w:rsidP="00A8432D">
        <w:pPr>
          <w:pStyle w:val="Header"/>
          <w:jc w:val="right"/>
          <w:rPr>
            <w:noProof/>
          </w:rPr>
        </w:pPr>
        <w:r>
          <w:t xml:space="preserve">Page </w:t>
        </w:r>
        <w:r>
          <w:fldChar w:fldCharType="begin"/>
        </w:r>
        <w:r>
          <w:instrText xml:space="preserve"> PAGE   \* MERGEFORMAT </w:instrText>
        </w:r>
        <w:r>
          <w:fldChar w:fldCharType="separate"/>
        </w:r>
        <w:r w:rsidR="00ED2111">
          <w:rPr>
            <w:noProof/>
          </w:rPr>
          <w:t>12</w:t>
        </w:r>
        <w:r>
          <w:rPr>
            <w:noProof/>
          </w:rPr>
          <w:fldChar w:fldCharType="end"/>
        </w:r>
      </w:p>
    </w:sdtContent>
  </w:sdt>
  <w:p w:rsidR="00FA0B43" w:rsidRPr="00A8432D" w:rsidRDefault="00FA0B43" w:rsidP="00A8432D">
    <w:pPr>
      <w:pStyle w:val="Header"/>
      <w:jc w:val="righ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3" w:rsidRDefault="00FA0B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3" w:rsidRDefault="00FA0B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3" w:rsidRDefault="00FA0B43" w:rsidP="00B95BE9">
    <w:pPr>
      <w:pStyle w:val="Header"/>
    </w:pPr>
  </w:p>
  <w:sdt>
    <w:sdtPr>
      <w:id w:val="-1587373487"/>
      <w:docPartObj>
        <w:docPartGallery w:val="Page Numbers (Top of Page)"/>
        <w:docPartUnique/>
      </w:docPartObj>
    </w:sdtPr>
    <w:sdtEndPr>
      <w:rPr>
        <w:noProof/>
      </w:rPr>
    </w:sdtEndPr>
    <w:sdtContent>
      <w:p w:rsidR="00FA0B43" w:rsidRDefault="00FA0B43" w:rsidP="00E04754">
        <w:pPr>
          <w:pStyle w:val="Header"/>
          <w:jc w:val="right"/>
        </w:pPr>
      </w:p>
      <w:p w:rsidR="00FA0B43" w:rsidRDefault="00A9494B" w:rsidP="00A8432D">
        <w:pPr>
          <w:pStyle w:val="Header"/>
          <w:jc w:val="right"/>
          <w:rPr>
            <w:noProof/>
          </w:rPr>
        </w:pPr>
      </w:p>
    </w:sdtContent>
  </w:sdt>
  <w:p w:rsidR="00FA0B43" w:rsidRPr="00A8432D" w:rsidRDefault="00FA0B43" w:rsidP="00A8432D">
    <w:pPr>
      <w:pStyle w:val="Header"/>
      <w:jc w:val="right"/>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3" w:rsidRDefault="00FA0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MwMrcwtDQ3NDMxtTBT0lEKTi0uzszPAykwrAUAvPrvKCwAAAA="/>
  </w:docVars>
  <w:rsids>
    <w:rsidRoot w:val="00151518"/>
    <w:rsid w:val="00000BF9"/>
    <w:rsid w:val="000046DD"/>
    <w:rsid w:val="0000480F"/>
    <w:rsid w:val="00007A1F"/>
    <w:rsid w:val="0001548F"/>
    <w:rsid w:val="00051532"/>
    <w:rsid w:val="00052AA1"/>
    <w:rsid w:val="00054C72"/>
    <w:rsid w:val="000602CB"/>
    <w:rsid w:val="00066A75"/>
    <w:rsid w:val="00072782"/>
    <w:rsid w:val="000825A7"/>
    <w:rsid w:val="000A77F6"/>
    <w:rsid w:val="000B05CD"/>
    <w:rsid w:val="000E24E8"/>
    <w:rsid w:val="000E3B00"/>
    <w:rsid w:val="000F074B"/>
    <w:rsid w:val="000F0F60"/>
    <w:rsid w:val="0010240F"/>
    <w:rsid w:val="00134AD0"/>
    <w:rsid w:val="001369BA"/>
    <w:rsid w:val="00151518"/>
    <w:rsid w:val="00154B8F"/>
    <w:rsid w:val="00161FB4"/>
    <w:rsid w:val="001652DB"/>
    <w:rsid w:val="00182491"/>
    <w:rsid w:val="0019087F"/>
    <w:rsid w:val="00192616"/>
    <w:rsid w:val="001A7B3B"/>
    <w:rsid w:val="001C077B"/>
    <w:rsid w:val="001C0B6B"/>
    <w:rsid w:val="001C30A8"/>
    <w:rsid w:val="001C6775"/>
    <w:rsid w:val="001D308A"/>
    <w:rsid w:val="001E46C7"/>
    <w:rsid w:val="001F5622"/>
    <w:rsid w:val="001F756C"/>
    <w:rsid w:val="001F7623"/>
    <w:rsid w:val="00214769"/>
    <w:rsid w:val="00221238"/>
    <w:rsid w:val="00224F77"/>
    <w:rsid w:val="002362A1"/>
    <w:rsid w:val="002428FD"/>
    <w:rsid w:val="00243AE9"/>
    <w:rsid w:val="0025418D"/>
    <w:rsid w:val="0026308D"/>
    <w:rsid w:val="00263491"/>
    <w:rsid w:val="00267B82"/>
    <w:rsid w:val="00273F48"/>
    <w:rsid w:val="00274874"/>
    <w:rsid w:val="00280BDE"/>
    <w:rsid w:val="00296BDB"/>
    <w:rsid w:val="002A0EB7"/>
    <w:rsid w:val="002A51C7"/>
    <w:rsid w:val="002A5ACE"/>
    <w:rsid w:val="002B3FB2"/>
    <w:rsid w:val="002C649C"/>
    <w:rsid w:val="002D1BF0"/>
    <w:rsid w:val="002D50A9"/>
    <w:rsid w:val="002D79A0"/>
    <w:rsid w:val="002E083C"/>
    <w:rsid w:val="002E49D5"/>
    <w:rsid w:val="00301541"/>
    <w:rsid w:val="003074F5"/>
    <w:rsid w:val="00314410"/>
    <w:rsid w:val="00314FB7"/>
    <w:rsid w:val="00323EE6"/>
    <w:rsid w:val="003400A8"/>
    <w:rsid w:val="003418A5"/>
    <w:rsid w:val="00344970"/>
    <w:rsid w:val="00344F3B"/>
    <w:rsid w:val="00345548"/>
    <w:rsid w:val="0035307B"/>
    <w:rsid w:val="00353C0D"/>
    <w:rsid w:val="00361270"/>
    <w:rsid w:val="00366FA1"/>
    <w:rsid w:val="00372903"/>
    <w:rsid w:val="0039391B"/>
    <w:rsid w:val="003A28D9"/>
    <w:rsid w:val="003A65EC"/>
    <w:rsid w:val="003A6ADB"/>
    <w:rsid w:val="003B05C1"/>
    <w:rsid w:val="003B11A5"/>
    <w:rsid w:val="003D563C"/>
    <w:rsid w:val="003E21F4"/>
    <w:rsid w:val="003F5794"/>
    <w:rsid w:val="003F7FB1"/>
    <w:rsid w:val="00403D10"/>
    <w:rsid w:val="00430D10"/>
    <w:rsid w:val="004361A0"/>
    <w:rsid w:val="00442CE5"/>
    <w:rsid w:val="0044349E"/>
    <w:rsid w:val="004603AD"/>
    <w:rsid w:val="00467694"/>
    <w:rsid w:val="00467CC0"/>
    <w:rsid w:val="0047665C"/>
    <w:rsid w:val="004830D7"/>
    <w:rsid w:val="004A4D2E"/>
    <w:rsid w:val="004A6DED"/>
    <w:rsid w:val="004B2FA8"/>
    <w:rsid w:val="004B3ABC"/>
    <w:rsid w:val="004B5FF8"/>
    <w:rsid w:val="004D699C"/>
    <w:rsid w:val="004E0D20"/>
    <w:rsid w:val="004E4113"/>
    <w:rsid w:val="004E7281"/>
    <w:rsid w:val="004F5FC7"/>
    <w:rsid w:val="005126F0"/>
    <w:rsid w:val="00524CDE"/>
    <w:rsid w:val="005533EA"/>
    <w:rsid w:val="005537F4"/>
    <w:rsid w:val="00572174"/>
    <w:rsid w:val="00577D64"/>
    <w:rsid w:val="00581771"/>
    <w:rsid w:val="005A49BA"/>
    <w:rsid w:val="005A5D94"/>
    <w:rsid w:val="005B6E4E"/>
    <w:rsid w:val="005C6141"/>
    <w:rsid w:val="005F5831"/>
    <w:rsid w:val="006040FD"/>
    <w:rsid w:val="00607A59"/>
    <w:rsid w:val="00607EB8"/>
    <w:rsid w:val="00616E0F"/>
    <w:rsid w:val="0063015E"/>
    <w:rsid w:val="006476BF"/>
    <w:rsid w:val="00651059"/>
    <w:rsid w:val="0065735C"/>
    <w:rsid w:val="00660431"/>
    <w:rsid w:val="00684CC7"/>
    <w:rsid w:val="006924A4"/>
    <w:rsid w:val="006A0251"/>
    <w:rsid w:val="006B1AD6"/>
    <w:rsid w:val="006B2380"/>
    <w:rsid w:val="006C1D1F"/>
    <w:rsid w:val="006C1F82"/>
    <w:rsid w:val="006E2DD1"/>
    <w:rsid w:val="007023E2"/>
    <w:rsid w:val="00706EA9"/>
    <w:rsid w:val="007077A5"/>
    <w:rsid w:val="00713126"/>
    <w:rsid w:val="00717296"/>
    <w:rsid w:val="007238FF"/>
    <w:rsid w:val="00724807"/>
    <w:rsid w:val="00735F51"/>
    <w:rsid w:val="00744742"/>
    <w:rsid w:val="007613F1"/>
    <w:rsid w:val="0077062A"/>
    <w:rsid w:val="00770A3B"/>
    <w:rsid w:val="00790C98"/>
    <w:rsid w:val="00795886"/>
    <w:rsid w:val="007A07E9"/>
    <w:rsid w:val="007C2331"/>
    <w:rsid w:val="007C70EE"/>
    <w:rsid w:val="007E5CE8"/>
    <w:rsid w:val="007E68D2"/>
    <w:rsid w:val="007E7F8A"/>
    <w:rsid w:val="007F4FF9"/>
    <w:rsid w:val="00806E2F"/>
    <w:rsid w:val="00807E2A"/>
    <w:rsid w:val="00831374"/>
    <w:rsid w:val="008354D1"/>
    <w:rsid w:val="00836AD6"/>
    <w:rsid w:val="00840DAF"/>
    <w:rsid w:val="00842B06"/>
    <w:rsid w:val="008458C4"/>
    <w:rsid w:val="00855749"/>
    <w:rsid w:val="00864135"/>
    <w:rsid w:val="00871D7B"/>
    <w:rsid w:val="00880834"/>
    <w:rsid w:val="008A4057"/>
    <w:rsid w:val="008B7EB1"/>
    <w:rsid w:val="008C5828"/>
    <w:rsid w:val="00906261"/>
    <w:rsid w:val="00906F47"/>
    <w:rsid w:val="00910A20"/>
    <w:rsid w:val="009276D2"/>
    <w:rsid w:val="00933344"/>
    <w:rsid w:val="00952FFC"/>
    <w:rsid w:val="0099598A"/>
    <w:rsid w:val="009B1A06"/>
    <w:rsid w:val="009B2DB6"/>
    <w:rsid w:val="009C4228"/>
    <w:rsid w:val="009E582A"/>
    <w:rsid w:val="009E78DB"/>
    <w:rsid w:val="009F0094"/>
    <w:rsid w:val="009F0425"/>
    <w:rsid w:val="009F6724"/>
    <w:rsid w:val="00A064AA"/>
    <w:rsid w:val="00A0731C"/>
    <w:rsid w:val="00A10A9E"/>
    <w:rsid w:val="00A20861"/>
    <w:rsid w:val="00A24BCD"/>
    <w:rsid w:val="00A34E30"/>
    <w:rsid w:val="00A35C2B"/>
    <w:rsid w:val="00A367BB"/>
    <w:rsid w:val="00A44CD1"/>
    <w:rsid w:val="00A45112"/>
    <w:rsid w:val="00A475AD"/>
    <w:rsid w:val="00A55393"/>
    <w:rsid w:val="00A6395F"/>
    <w:rsid w:val="00A7461D"/>
    <w:rsid w:val="00A7743F"/>
    <w:rsid w:val="00A8432D"/>
    <w:rsid w:val="00A86326"/>
    <w:rsid w:val="00A918F5"/>
    <w:rsid w:val="00A93AD5"/>
    <w:rsid w:val="00A9494B"/>
    <w:rsid w:val="00AB4347"/>
    <w:rsid w:val="00AB570D"/>
    <w:rsid w:val="00AC0056"/>
    <w:rsid w:val="00AC572E"/>
    <w:rsid w:val="00AC62B4"/>
    <w:rsid w:val="00AD128D"/>
    <w:rsid w:val="00AD45BB"/>
    <w:rsid w:val="00AD4750"/>
    <w:rsid w:val="00AD5275"/>
    <w:rsid w:val="00AD5472"/>
    <w:rsid w:val="00AE3D82"/>
    <w:rsid w:val="00AF2C20"/>
    <w:rsid w:val="00AF34B4"/>
    <w:rsid w:val="00AF4CD9"/>
    <w:rsid w:val="00B1055E"/>
    <w:rsid w:val="00B13E88"/>
    <w:rsid w:val="00B176C8"/>
    <w:rsid w:val="00B1789B"/>
    <w:rsid w:val="00B21D4C"/>
    <w:rsid w:val="00B26B93"/>
    <w:rsid w:val="00B278FE"/>
    <w:rsid w:val="00B57FDC"/>
    <w:rsid w:val="00B86099"/>
    <w:rsid w:val="00B862D3"/>
    <w:rsid w:val="00B9312F"/>
    <w:rsid w:val="00B95BE9"/>
    <w:rsid w:val="00B97E3F"/>
    <w:rsid w:val="00BB088D"/>
    <w:rsid w:val="00BC4724"/>
    <w:rsid w:val="00BE0587"/>
    <w:rsid w:val="00BE5AC2"/>
    <w:rsid w:val="00BE74AE"/>
    <w:rsid w:val="00BF6A31"/>
    <w:rsid w:val="00C215FB"/>
    <w:rsid w:val="00C22167"/>
    <w:rsid w:val="00C24061"/>
    <w:rsid w:val="00C25774"/>
    <w:rsid w:val="00C354DA"/>
    <w:rsid w:val="00C600C3"/>
    <w:rsid w:val="00C7135B"/>
    <w:rsid w:val="00C76C76"/>
    <w:rsid w:val="00C83D87"/>
    <w:rsid w:val="00CA7B63"/>
    <w:rsid w:val="00CA7F30"/>
    <w:rsid w:val="00CB5499"/>
    <w:rsid w:val="00CC751E"/>
    <w:rsid w:val="00CD06A1"/>
    <w:rsid w:val="00CD66EF"/>
    <w:rsid w:val="00D0141B"/>
    <w:rsid w:val="00D23C08"/>
    <w:rsid w:val="00D52BFB"/>
    <w:rsid w:val="00D54633"/>
    <w:rsid w:val="00D60392"/>
    <w:rsid w:val="00D6445A"/>
    <w:rsid w:val="00D80D94"/>
    <w:rsid w:val="00D84BBE"/>
    <w:rsid w:val="00D914D3"/>
    <w:rsid w:val="00D96286"/>
    <w:rsid w:val="00DD5829"/>
    <w:rsid w:val="00DD7962"/>
    <w:rsid w:val="00DE7149"/>
    <w:rsid w:val="00DF03BD"/>
    <w:rsid w:val="00DF1356"/>
    <w:rsid w:val="00E02B8E"/>
    <w:rsid w:val="00E04754"/>
    <w:rsid w:val="00E153C6"/>
    <w:rsid w:val="00E17349"/>
    <w:rsid w:val="00E2185B"/>
    <w:rsid w:val="00E21FB7"/>
    <w:rsid w:val="00E2731F"/>
    <w:rsid w:val="00E32D19"/>
    <w:rsid w:val="00E37C79"/>
    <w:rsid w:val="00E47DB4"/>
    <w:rsid w:val="00E5379B"/>
    <w:rsid w:val="00E54BCF"/>
    <w:rsid w:val="00E71B47"/>
    <w:rsid w:val="00E75901"/>
    <w:rsid w:val="00E7717A"/>
    <w:rsid w:val="00E8223A"/>
    <w:rsid w:val="00E82F45"/>
    <w:rsid w:val="00E90E11"/>
    <w:rsid w:val="00EB0F18"/>
    <w:rsid w:val="00EB1EB2"/>
    <w:rsid w:val="00EB3473"/>
    <w:rsid w:val="00EC05A9"/>
    <w:rsid w:val="00ED2111"/>
    <w:rsid w:val="00ED62F1"/>
    <w:rsid w:val="00EE017B"/>
    <w:rsid w:val="00EF1614"/>
    <w:rsid w:val="00EF485B"/>
    <w:rsid w:val="00F01ED8"/>
    <w:rsid w:val="00F03008"/>
    <w:rsid w:val="00F04EC0"/>
    <w:rsid w:val="00F0784A"/>
    <w:rsid w:val="00F07FA6"/>
    <w:rsid w:val="00F12F56"/>
    <w:rsid w:val="00F2559C"/>
    <w:rsid w:val="00F3014C"/>
    <w:rsid w:val="00F34C6B"/>
    <w:rsid w:val="00F4409C"/>
    <w:rsid w:val="00F441FA"/>
    <w:rsid w:val="00F56F54"/>
    <w:rsid w:val="00F714B7"/>
    <w:rsid w:val="00F7490B"/>
    <w:rsid w:val="00F964D1"/>
    <w:rsid w:val="00FA0153"/>
    <w:rsid w:val="00FA0B43"/>
    <w:rsid w:val="00FC5506"/>
    <w:rsid w:val="00FD0B6A"/>
    <w:rsid w:val="00FD68B6"/>
    <w:rsid w:val="00FD7064"/>
    <w:rsid w:val="00FE04EE"/>
    <w:rsid w:val="00FE3D7E"/>
    <w:rsid w:val="00FE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51518"/>
    <w:pPr>
      <w:keepNext/>
      <w:widowControl/>
      <w:jc w:val="both"/>
      <w:outlineLvl w:val="0"/>
    </w:pPr>
    <w:rPr>
      <w:b/>
      <w:u w:val="single"/>
    </w:rPr>
  </w:style>
  <w:style w:type="paragraph" w:styleId="Heading2">
    <w:name w:val="heading 2"/>
    <w:basedOn w:val="Normal"/>
    <w:next w:val="Normal"/>
    <w:link w:val="Heading2Char"/>
    <w:qFormat/>
    <w:rsid w:val="00151518"/>
    <w:pPr>
      <w:keepNext/>
      <w:outlineLvl w:val="1"/>
    </w:pPr>
    <w:rPr>
      <w:rFonts w:ascii="Times" w:hAnsi="Times" w:cs="Arial"/>
      <w:b/>
      <w:bCs/>
      <w:szCs w:val="24"/>
      <w:u w:val="single"/>
    </w:rPr>
  </w:style>
  <w:style w:type="paragraph" w:styleId="Heading3">
    <w:name w:val="heading 3"/>
    <w:basedOn w:val="Normal"/>
    <w:next w:val="Normal"/>
    <w:link w:val="Heading3Char"/>
    <w:qFormat/>
    <w:rsid w:val="00151518"/>
    <w:pPr>
      <w:keepNext/>
      <w:widowControl/>
      <w:tabs>
        <w:tab w:val="center" w:pos="4680"/>
        <w:tab w:val="center" w:pos="6480"/>
        <w:tab w:val="center" w:pos="8640"/>
      </w:tabs>
      <w:jc w:val="center"/>
      <w:outlineLvl w:val="2"/>
    </w:pPr>
    <w:rPr>
      <w:u w:val="single"/>
    </w:rPr>
  </w:style>
  <w:style w:type="paragraph" w:styleId="Heading4">
    <w:name w:val="heading 4"/>
    <w:basedOn w:val="Normal"/>
    <w:next w:val="Normal"/>
    <w:link w:val="Heading4Char"/>
    <w:qFormat/>
    <w:rsid w:val="00151518"/>
    <w:pPr>
      <w:keepNext/>
      <w:widowControl/>
      <w:jc w:val="center"/>
      <w:outlineLvl w:val="3"/>
    </w:pPr>
    <w:rPr>
      <w:b/>
      <w:bCs/>
      <w:szCs w:val="28"/>
    </w:rPr>
  </w:style>
  <w:style w:type="paragraph" w:styleId="Heading5">
    <w:name w:val="heading 5"/>
    <w:basedOn w:val="Normal"/>
    <w:next w:val="Normal"/>
    <w:link w:val="Heading5Char"/>
    <w:qFormat/>
    <w:rsid w:val="00151518"/>
    <w:pPr>
      <w:keepNext/>
      <w:widowControl/>
      <w:jc w:val="both"/>
      <w:outlineLvl w:val="4"/>
    </w:pPr>
    <w:rPr>
      <w:u w:val="single"/>
    </w:rPr>
  </w:style>
  <w:style w:type="paragraph" w:styleId="Heading6">
    <w:name w:val="heading 6"/>
    <w:basedOn w:val="Normal"/>
    <w:next w:val="Normal"/>
    <w:link w:val="Heading6Char"/>
    <w:qFormat/>
    <w:rsid w:val="00151518"/>
    <w:pPr>
      <w:keepNext/>
      <w:jc w:val="center"/>
      <w:outlineLvl w:val="5"/>
    </w:pPr>
    <w:rPr>
      <w:b/>
      <w:bCs/>
      <w:u w:val="single"/>
    </w:rPr>
  </w:style>
  <w:style w:type="paragraph" w:styleId="Heading8">
    <w:name w:val="heading 8"/>
    <w:basedOn w:val="Normal"/>
    <w:next w:val="Normal"/>
    <w:link w:val="Heading8Char"/>
    <w:qFormat/>
    <w:rsid w:val="00151518"/>
    <w:pPr>
      <w:keepNext/>
      <w:widowControl/>
      <w:jc w:val="both"/>
      <w:outlineLvl w:val="7"/>
    </w:pPr>
    <w:rPr>
      <w:b/>
    </w:rPr>
  </w:style>
  <w:style w:type="paragraph" w:styleId="Heading9">
    <w:name w:val="heading 9"/>
    <w:basedOn w:val="Normal"/>
    <w:next w:val="Normal"/>
    <w:link w:val="Heading9Char"/>
    <w:qFormat/>
    <w:rsid w:val="00151518"/>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1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151518"/>
    <w:rPr>
      <w:rFonts w:ascii="Times" w:eastAsia="Times New Roman" w:hAnsi="Times" w:cs="Arial"/>
      <w:b/>
      <w:bCs/>
      <w:snapToGrid w:val="0"/>
      <w:sz w:val="24"/>
      <w:szCs w:val="24"/>
      <w:u w:val="single"/>
    </w:rPr>
  </w:style>
  <w:style w:type="character" w:customStyle="1" w:styleId="Heading3Char">
    <w:name w:val="Heading 3 Char"/>
    <w:basedOn w:val="DefaultParagraphFont"/>
    <w:link w:val="Heading3"/>
    <w:rsid w:val="00151518"/>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151518"/>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51518"/>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151518"/>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151518"/>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51518"/>
    <w:rPr>
      <w:rFonts w:ascii="Times New Roman" w:eastAsia="Times New Roman" w:hAnsi="Times New Roman" w:cs="Times New Roman"/>
      <w:b/>
      <w:bCs/>
      <w:snapToGrid w:val="0"/>
      <w:sz w:val="24"/>
      <w:szCs w:val="24"/>
    </w:rPr>
  </w:style>
  <w:style w:type="paragraph" w:styleId="Header">
    <w:name w:val="header"/>
    <w:basedOn w:val="Normal"/>
    <w:link w:val="HeaderChar"/>
    <w:uiPriority w:val="99"/>
    <w:rsid w:val="00151518"/>
    <w:pPr>
      <w:tabs>
        <w:tab w:val="center" w:pos="4320"/>
        <w:tab w:val="right" w:pos="8640"/>
      </w:tabs>
    </w:pPr>
  </w:style>
  <w:style w:type="character" w:customStyle="1" w:styleId="HeaderChar">
    <w:name w:val="Header Char"/>
    <w:basedOn w:val="DefaultParagraphFont"/>
    <w:link w:val="Header"/>
    <w:uiPriority w:val="99"/>
    <w:rsid w:val="00151518"/>
    <w:rPr>
      <w:rFonts w:ascii="Times New Roman" w:eastAsia="Times New Roman" w:hAnsi="Times New Roman" w:cs="Times New Roman"/>
      <w:snapToGrid w:val="0"/>
      <w:sz w:val="24"/>
      <w:szCs w:val="20"/>
    </w:rPr>
  </w:style>
  <w:style w:type="paragraph" w:styleId="BodyText">
    <w:name w:val="Body Text"/>
    <w:basedOn w:val="Normal"/>
    <w:link w:val="BodyTextChar"/>
    <w:rsid w:val="00151518"/>
    <w:pPr>
      <w:widowControl/>
      <w:jc w:val="both"/>
    </w:pPr>
    <w:rPr>
      <w:bCs/>
    </w:rPr>
  </w:style>
  <w:style w:type="character" w:customStyle="1" w:styleId="BodyTextChar">
    <w:name w:val="Body Text Char"/>
    <w:basedOn w:val="DefaultParagraphFont"/>
    <w:link w:val="BodyText"/>
    <w:rsid w:val="00151518"/>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151518"/>
    <w:pPr>
      <w:widowControl/>
      <w:ind w:left="1440" w:hanging="1440"/>
      <w:jc w:val="both"/>
    </w:pPr>
    <w:rPr>
      <w:szCs w:val="24"/>
    </w:rPr>
  </w:style>
  <w:style w:type="character" w:customStyle="1" w:styleId="BodyTextIndentChar">
    <w:name w:val="Body Text Indent Char"/>
    <w:basedOn w:val="DefaultParagraphFont"/>
    <w:link w:val="BodyTextIndent"/>
    <w:rsid w:val="00151518"/>
    <w:rPr>
      <w:rFonts w:ascii="Times New Roman" w:eastAsia="Times New Roman" w:hAnsi="Times New Roman" w:cs="Times New Roman"/>
      <w:snapToGrid w:val="0"/>
      <w:sz w:val="24"/>
      <w:szCs w:val="24"/>
    </w:rPr>
  </w:style>
  <w:style w:type="character" w:styleId="CommentReference">
    <w:name w:val="annotation reference"/>
    <w:basedOn w:val="DefaultParagraphFont"/>
    <w:uiPriority w:val="99"/>
    <w:semiHidden/>
    <w:unhideWhenUsed/>
    <w:rsid w:val="001E46C7"/>
    <w:rPr>
      <w:sz w:val="16"/>
      <w:szCs w:val="16"/>
    </w:rPr>
  </w:style>
  <w:style w:type="paragraph" w:styleId="CommentText">
    <w:name w:val="annotation text"/>
    <w:basedOn w:val="Normal"/>
    <w:link w:val="CommentTextChar"/>
    <w:uiPriority w:val="99"/>
    <w:semiHidden/>
    <w:unhideWhenUsed/>
    <w:rsid w:val="001E46C7"/>
    <w:rPr>
      <w:sz w:val="20"/>
    </w:rPr>
  </w:style>
  <w:style w:type="character" w:customStyle="1" w:styleId="CommentTextChar">
    <w:name w:val="Comment Text Char"/>
    <w:basedOn w:val="DefaultParagraphFont"/>
    <w:link w:val="CommentText"/>
    <w:uiPriority w:val="99"/>
    <w:semiHidden/>
    <w:rsid w:val="001E46C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6C7"/>
    <w:rPr>
      <w:b/>
      <w:bCs/>
    </w:rPr>
  </w:style>
  <w:style w:type="character" w:customStyle="1" w:styleId="CommentSubjectChar">
    <w:name w:val="Comment Subject Char"/>
    <w:basedOn w:val="CommentTextChar"/>
    <w:link w:val="CommentSubject"/>
    <w:uiPriority w:val="99"/>
    <w:semiHidden/>
    <w:rsid w:val="001E46C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E46C7"/>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eastAsia="Times New Roman" w:hAnsi="Tahoma" w:cs="Tahoma"/>
      <w:snapToGrid w:val="0"/>
      <w:sz w:val="16"/>
      <w:szCs w:val="16"/>
    </w:rPr>
  </w:style>
  <w:style w:type="paragraph" w:styleId="Footer">
    <w:name w:val="footer"/>
    <w:basedOn w:val="Normal"/>
    <w:link w:val="FooterChar"/>
    <w:uiPriority w:val="99"/>
    <w:unhideWhenUsed/>
    <w:rsid w:val="00F03008"/>
    <w:pPr>
      <w:tabs>
        <w:tab w:val="center" w:pos="4680"/>
        <w:tab w:val="right" w:pos="9360"/>
      </w:tabs>
    </w:pPr>
  </w:style>
  <w:style w:type="character" w:customStyle="1" w:styleId="FooterChar">
    <w:name w:val="Footer Char"/>
    <w:basedOn w:val="DefaultParagraphFont"/>
    <w:link w:val="Footer"/>
    <w:uiPriority w:val="99"/>
    <w:rsid w:val="00F03008"/>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E54BCF"/>
    <w:rPr>
      <w:sz w:val="20"/>
    </w:rPr>
  </w:style>
  <w:style w:type="character" w:customStyle="1" w:styleId="FootnoteTextChar">
    <w:name w:val="Footnote Text Char"/>
    <w:basedOn w:val="DefaultParagraphFont"/>
    <w:link w:val="FootnoteText"/>
    <w:uiPriority w:val="99"/>
    <w:semiHidden/>
    <w:rsid w:val="00E54BC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54BCF"/>
    <w:rPr>
      <w:vertAlign w:val="superscript"/>
    </w:rPr>
  </w:style>
  <w:style w:type="paragraph" w:customStyle="1" w:styleId="a">
    <w:name w:val="_"/>
    <w:basedOn w:val="Normal"/>
    <w:rsid w:val="00A7743F"/>
    <w:pPr>
      <w:autoSpaceDE w:val="0"/>
      <w:autoSpaceDN w:val="0"/>
      <w:adjustRightInd w:val="0"/>
      <w:ind w:left="720" w:hanging="720"/>
    </w:pPr>
    <w:rPr>
      <w:snapToGrid/>
      <w:szCs w:val="24"/>
    </w:rPr>
  </w:style>
  <w:style w:type="paragraph" w:styleId="Revision">
    <w:name w:val="Revision"/>
    <w:hidden/>
    <w:uiPriority w:val="99"/>
    <w:semiHidden/>
    <w:rsid w:val="002362A1"/>
    <w:pPr>
      <w:spacing w:after="0" w:line="240" w:lineRule="auto"/>
    </w:pPr>
    <w:rPr>
      <w:rFonts w:ascii="Times New Roman" w:eastAsia="Times New Roman" w:hAnsi="Times New Roman" w:cs="Times New Roman"/>
      <w:snapToGrid w:val="0"/>
      <w:sz w:val="24"/>
      <w:szCs w:val="20"/>
    </w:rPr>
  </w:style>
  <w:style w:type="paragraph" w:customStyle="1" w:styleId="Notes">
    <w:name w:val="Notes"/>
    <w:basedOn w:val="Normal"/>
    <w:rsid w:val="00430D10"/>
    <w:pPr>
      <w:widowControl/>
      <w:tabs>
        <w:tab w:val="left" w:pos="720"/>
      </w:tabs>
    </w:pPr>
    <w:rPr>
      <w:snapToGrid/>
    </w:rPr>
  </w:style>
  <w:style w:type="paragraph" w:styleId="ListParagraph">
    <w:name w:val="List Paragraph"/>
    <w:basedOn w:val="Normal"/>
    <w:uiPriority w:val="34"/>
    <w:qFormat/>
    <w:rsid w:val="00744742"/>
    <w:pPr>
      <w:widowControl/>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51518"/>
    <w:pPr>
      <w:keepNext/>
      <w:widowControl/>
      <w:jc w:val="both"/>
      <w:outlineLvl w:val="0"/>
    </w:pPr>
    <w:rPr>
      <w:b/>
      <w:u w:val="single"/>
    </w:rPr>
  </w:style>
  <w:style w:type="paragraph" w:styleId="Heading2">
    <w:name w:val="heading 2"/>
    <w:basedOn w:val="Normal"/>
    <w:next w:val="Normal"/>
    <w:link w:val="Heading2Char"/>
    <w:qFormat/>
    <w:rsid w:val="00151518"/>
    <w:pPr>
      <w:keepNext/>
      <w:outlineLvl w:val="1"/>
    </w:pPr>
    <w:rPr>
      <w:rFonts w:ascii="Times" w:hAnsi="Times" w:cs="Arial"/>
      <w:b/>
      <w:bCs/>
      <w:szCs w:val="24"/>
      <w:u w:val="single"/>
    </w:rPr>
  </w:style>
  <w:style w:type="paragraph" w:styleId="Heading3">
    <w:name w:val="heading 3"/>
    <w:basedOn w:val="Normal"/>
    <w:next w:val="Normal"/>
    <w:link w:val="Heading3Char"/>
    <w:qFormat/>
    <w:rsid w:val="00151518"/>
    <w:pPr>
      <w:keepNext/>
      <w:widowControl/>
      <w:tabs>
        <w:tab w:val="center" w:pos="4680"/>
        <w:tab w:val="center" w:pos="6480"/>
        <w:tab w:val="center" w:pos="8640"/>
      </w:tabs>
      <w:jc w:val="center"/>
      <w:outlineLvl w:val="2"/>
    </w:pPr>
    <w:rPr>
      <w:u w:val="single"/>
    </w:rPr>
  </w:style>
  <w:style w:type="paragraph" w:styleId="Heading4">
    <w:name w:val="heading 4"/>
    <w:basedOn w:val="Normal"/>
    <w:next w:val="Normal"/>
    <w:link w:val="Heading4Char"/>
    <w:qFormat/>
    <w:rsid w:val="00151518"/>
    <w:pPr>
      <w:keepNext/>
      <w:widowControl/>
      <w:jc w:val="center"/>
      <w:outlineLvl w:val="3"/>
    </w:pPr>
    <w:rPr>
      <w:b/>
      <w:bCs/>
      <w:szCs w:val="28"/>
    </w:rPr>
  </w:style>
  <w:style w:type="paragraph" w:styleId="Heading5">
    <w:name w:val="heading 5"/>
    <w:basedOn w:val="Normal"/>
    <w:next w:val="Normal"/>
    <w:link w:val="Heading5Char"/>
    <w:qFormat/>
    <w:rsid w:val="00151518"/>
    <w:pPr>
      <w:keepNext/>
      <w:widowControl/>
      <w:jc w:val="both"/>
      <w:outlineLvl w:val="4"/>
    </w:pPr>
    <w:rPr>
      <w:u w:val="single"/>
    </w:rPr>
  </w:style>
  <w:style w:type="paragraph" w:styleId="Heading6">
    <w:name w:val="heading 6"/>
    <w:basedOn w:val="Normal"/>
    <w:next w:val="Normal"/>
    <w:link w:val="Heading6Char"/>
    <w:qFormat/>
    <w:rsid w:val="00151518"/>
    <w:pPr>
      <w:keepNext/>
      <w:jc w:val="center"/>
      <w:outlineLvl w:val="5"/>
    </w:pPr>
    <w:rPr>
      <w:b/>
      <w:bCs/>
      <w:u w:val="single"/>
    </w:rPr>
  </w:style>
  <w:style w:type="paragraph" w:styleId="Heading8">
    <w:name w:val="heading 8"/>
    <w:basedOn w:val="Normal"/>
    <w:next w:val="Normal"/>
    <w:link w:val="Heading8Char"/>
    <w:qFormat/>
    <w:rsid w:val="00151518"/>
    <w:pPr>
      <w:keepNext/>
      <w:widowControl/>
      <w:jc w:val="both"/>
      <w:outlineLvl w:val="7"/>
    </w:pPr>
    <w:rPr>
      <w:b/>
    </w:rPr>
  </w:style>
  <w:style w:type="paragraph" w:styleId="Heading9">
    <w:name w:val="heading 9"/>
    <w:basedOn w:val="Normal"/>
    <w:next w:val="Normal"/>
    <w:link w:val="Heading9Char"/>
    <w:qFormat/>
    <w:rsid w:val="00151518"/>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1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151518"/>
    <w:rPr>
      <w:rFonts w:ascii="Times" w:eastAsia="Times New Roman" w:hAnsi="Times" w:cs="Arial"/>
      <w:b/>
      <w:bCs/>
      <w:snapToGrid w:val="0"/>
      <w:sz w:val="24"/>
      <w:szCs w:val="24"/>
      <w:u w:val="single"/>
    </w:rPr>
  </w:style>
  <w:style w:type="character" w:customStyle="1" w:styleId="Heading3Char">
    <w:name w:val="Heading 3 Char"/>
    <w:basedOn w:val="DefaultParagraphFont"/>
    <w:link w:val="Heading3"/>
    <w:rsid w:val="00151518"/>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151518"/>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51518"/>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151518"/>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151518"/>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51518"/>
    <w:rPr>
      <w:rFonts w:ascii="Times New Roman" w:eastAsia="Times New Roman" w:hAnsi="Times New Roman" w:cs="Times New Roman"/>
      <w:b/>
      <w:bCs/>
      <w:snapToGrid w:val="0"/>
      <w:sz w:val="24"/>
      <w:szCs w:val="24"/>
    </w:rPr>
  </w:style>
  <w:style w:type="paragraph" w:styleId="Header">
    <w:name w:val="header"/>
    <w:basedOn w:val="Normal"/>
    <w:link w:val="HeaderChar"/>
    <w:uiPriority w:val="99"/>
    <w:rsid w:val="00151518"/>
    <w:pPr>
      <w:tabs>
        <w:tab w:val="center" w:pos="4320"/>
        <w:tab w:val="right" w:pos="8640"/>
      </w:tabs>
    </w:pPr>
  </w:style>
  <w:style w:type="character" w:customStyle="1" w:styleId="HeaderChar">
    <w:name w:val="Header Char"/>
    <w:basedOn w:val="DefaultParagraphFont"/>
    <w:link w:val="Header"/>
    <w:uiPriority w:val="99"/>
    <w:rsid w:val="00151518"/>
    <w:rPr>
      <w:rFonts w:ascii="Times New Roman" w:eastAsia="Times New Roman" w:hAnsi="Times New Roman" w:cs="Times New Roman"/>
      <w:snapToGrid w:val="0"/>
      <w:sz w:val="24"/>
      <w:szCs w:val="20"/>
    </w:rPr>
  </w:style>
  <w:style w:type="paragraph" w:styleId="BodyText">
    <w:name w:val="Body Text"/>
    <w:basedOn w:val="Normal"/>
    <w:link w:val="BodyTextChar"/>
    <w:rsid w:val="00151518"/>
    <w:pPr>
      <w:widowControl/>
      <w:jc w:val="both"/>
    </w:pPr>
    <w:rPr>
      <w:bCs/>
    </w:rPr>
  </w:style>
  <w:style w:type="character" w:customStyle="1" w:styleId="BodyTextChar">
    <w:name w:val="Body Text Char"/>
    <w:basedOn w:val="DefaultParagraphFont"/>
    <w:link w:val="BodyText"/>
    <w:rsid w:val="00151518"/>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151518"/>
    <w:pPr>
      <w:widowControl/>
      <w:ind w:left="1440" w:hanging="1440"/>
      <w:jc w:val="both"/>
    </w:pPr>
    <w:rPr>
      <w:szCs w:val="24"/>
    </w:rPr>
  </w:style>
  <w:style w:type="character" w:customStyle="1" w:styleId="BodyTextIndentChar">
    <w:name w:val="Body Text Indent Char"/>
    <w:basedOn w:val="DefaultParagraphFont"/>
    <w:link w:val="BodyTextIndent"/>
    <w:rsid w:val="00151518"/>
    <w:rPr>
      <w:rFonts w:ascii="Times New Roman" w:eastAsia="Times New Roman" w:hAnsi="Times New Roman" w:cs="Times New Roman"/>
      <w:snapToGrid w:val="0"/>
      <w:sz w:val="24"/>
      <w:szCs w:val="24"/>
    </w:rPr>
  </w:style>
  <w:style w:type="character" w:styleId="CommentReference">
    <w:name w:val="annotation reference"/>
    <w:basedOn w:val="DefaultParagraphFont"/>
    <w:uiPriority w:val="99"/>
    <w:semiHidden/>
    <w:unhideWhenUsed/>
    <w:rsid w:val="001E46C7"/>
    <w:rPr>
      <w:sz w:val="16"/>
      <w:szCs w:val="16"/>
    </w:rPr>
  </w:style>
  <w:style w:type="paragraph" w:styleId="CommentText">
    <w:name w:val="annotation text"/>
    <w:basedOn w:val="Normal"/>
    <w:link w:val="CommentTextChar"/>
    <w:uiPriority w:val="99"/>
    <w:semiHidden/>
    <w:unhideWhenUsed/>
    <w:rsid w:val="001E46C7"/>
    <w:rPr>
      <w:sz w:val="20"/>
    </w:rPr>
  </w:style>
  <w:style w:type="character" w:customStyle="1" w:styleId="CommentTextChar">
    <w:name w:val="Comment Text Char"/>
    <w:basedOn w:val="DefaultParagraphFont"/>
    <w:link w:val="CommentText"/>
    <w:uiPriority w:val="99"/>
    <w:semiHidden/>
    <w:rsid w:val="001E46C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6C7"/>
    <w:rPr>
      <w:b/>
      <w:bCs/>
    </w:rPr>
  </w:style>
  <w:style w:type="character" w:customStyle="1" w:styleId="CommentSubjectChar">
    <w:name w:val="Comment Subject Char"/>
    <w:basedOn w:val="CommentTextChar"/>
    <w:link w:val="CommentSubject"/>
    <w:uiPriority w:val="99"/>
    <w:semiHidden/>
    <w:rsid w:val="001E46C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E46C7"/>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eastAsia="Times New Roman" w:hAnsi="Tahoma" w:cs="Tahoma"/>
      <w:snapToGrid w:val="0"/>
      <w:sz w:val="16"/>
      <w:szCs w:val="16"/>
    </w:rPr>
  </w:style>
  <w:style w:type="paragraph" w:styleId="Footer">
    <w:name w:val="footer"/>
    <w:basedOn w:val="Normal"/>
    <w:link w:val="FooterChar"/>
    <w:uiPriority w:val="99"/>
    <w:unhideWhenUsed/>
    <w:rsid w:val="00F03008"/>
    <w:pPr>
      <w:tabs>
        <w:tab w:val="center" w:pos="4680"/>
        <w:tab w:val="right" w:pos="9360"/>
      </w:tabs>
    </w:pPr>
  </w:style>
  <w:style w:type="character" w:customStyle="1" w:styleId="FooterChar">
    <w:name w:val="Footer Char"/>
    <w:basedOn w:val="DefaultParagraphFont"/>
    <w:link w:val="Footer"/>
    <w:uiPriority w:val="99"/>
    <w:rsid w:val="00F03008"/>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E54BCF"/>
    <w:rPr>
      <w:sz w:val="20"/>
    </w:rPr>
  </w:style>
  <w:style w:type="character" w:customStyle="1" w:styleId="FootnoteTextChar">
    <w:name w:val="Footnote Text Char"/>
    <w:basedOn w:val="DefaultParagraphFont"/>
    <w:link w:val="FootnoteText"/>
    <w:uiPriority w:val="99"/>
    <w:semiHidden/>
    <w:rsid w:val="00E54BC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54BCF"/>
    <w:rPr>
      <w:vertAlign w:val="superscript"/>
    </w:rPr>
  </w:style>
  <w:style w:type="paragraph" w:customStyle="1" w:styleId="a">
    <w:name w:val="_"/>
    <w:basedOn w:val="Normal"/>
    <w:rsid w:val="00A7743F"/>
    <w:pPr>
      <w:autoSpaceDE w:val="0"/>
      <w:autoSpaceDN w:val="0"/>
      <w:adjustRightInd w:val="0"/>
      <w:ind w:left="720" w:hanging="720"/>
    </w:pPr>
    <w:rPr>
      <w:snapToGrid/>
      <w:szCs w:val="24"/>
    </w:rPr>
  </w:style>
  <w:style w:type="paragraph" w:styleId="Revision">
    <w:name w:val="Revision"/>
    <w:hidden/>
    <w:uiPriority w:val="99"/>
    <w:semiHidden/>
    <w:rsid w:val="002362A1"/>
    <w:pPr>
      <w:spacing w:after="0" w:line="240" w:lineRule="auto"/>
    </w:pPr>
    <w:rPr>
      <w:rFonts w:ascii="Times New Roman" w:eastAsia="Times New Roman" w:hAnsi="Times New Roman" w:cs="Times New Roman"/>
      <w:snapToGrid w:val="0"/>
      <w:sz w:val="24"/>
      <w:szCs w:val="20"/>
    </w:rPr>
  </w:style>
  <w:style w:type="paragraph" w:customStyle="1" w:styleId="Notes">
    <w:name w:val="Notes"/>
    <w:basedOn w:val="Normal"/>
    <w:rsid w:val="00430D10"/>
    <w:pPr>
      <w:widowControl/>
      <w:tabs>
        <w:tab w:val="left" w:pos="720"/>
      </w:tabs>
    </w:pPr>
    <w:rPr>
      <w:snapToGrid/>
    </w:rPr>
  </w:style>
  <w:style w:type="paragraph" w:styleId="ListParagraph">
    <w:name w:val="List Paragraph"/>
    <w:basedOn w:val="Normal"/>
    <w:uiPriority w:val="34"/>
    <w:qFormat/>
    <w:rsid w:val="00744742"/>
    <w:pPr>
      <w:widowControl/>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15210">
      <w:bodyDiv w:val="1"/>
      <w:marLeft w:val="0"/>
      <w:marRight w:val="0"/>
      <w:marTop w:val="0"/>
      <w:marBottom w:val="0"/>
      <w:divBdr>
        <w:top w:val="none" w:sz="0" w:space="0" w:color="auto"/>
        <w:left w:val="none" w:sz="0" w:space="0" w:color="auto"/>
        <w:bottom w:val="none" w:sz="0" w:space="0" w:color="auto"/>
        <w:right w:val="none" w:sz="0" w:space="0" w:color="auto"/>
      </w:divBdr>
    </w:div>
    <w:div w:id="933395386">
      <w:bodyDiv w:val="1"/>
      <w:marLeft w:val="0"/>
      <w:marRight w:val="0"/>
      <w:marTop w:val="0"/>
      <w:marBottom w:val="0"/>
      <w:divBdr>
        <w:top w:val="none" w:sz="0" w:space="0" w:color="auto"/>
        <w:left w:val="none" w:sz="0" w:space="0" w:color="auto"/>
        <w:bottom w:val="none" w:sz="0" w:space="0" w:color="auto"/>
        <w:right w:val="none" w:sz="0" w:space="0" w:color="auto"/>
      </w:divBdr>
    </w:div>
    <w:div w:id="997225627">
      <w:bodyDiv w:val="1"/>
      <w:marLeft w:val="0"/>
      <w:marRight w:val="0"/>
      <w:marTop w:val="0"/>
      <w:marBottom w:val="0"/>
      <w:divBdr>
        <w:top w:val="none" w:sz="0" w:space="0" w:color="auto"/>
        <w:left w:val="none" w:sz="0" w:space="0" w:color="auto"/>
        <w:bottom w:val="none" w:sz="0" w:space="0" w:color="auto"/>
        <w:right w:val="none" w:sz="0" w:space="0" w:color="auto"/>
      </w:divBdr>
      <w:divsChild>
        <w:div w:id="999114602">
          <w:marLeft w:val="0"/>
          <w:marRight w:val="0"/>
          <w:marTop w:val="0"/>
          <w:marBottom w:val="0"/>
          <w:divBdr>
            <w:top w:val="none" w:sz="0" w:space="0" w:color="auto"/>
            <w:left w:val="none" w:sz="0" w:space="0" w:color="auto"/>
            <w:bottom w:val="none" w:sz="0" w:space="0" w:color="auto"/>
            <w:right w:val="none" w:sz="0" w:space="0" w:color="auto"/>
          </w:divBdr>
          <w:divsChild>
            <w:div w:id="1505242714">
              <w:marLeft w:val="0"/>
              <w:marRight w:val="0"/>
              <w:marTop w:val="0"/>
              <w:marBottom w:val="0"/>
              <w:divBdr>
                <w:top w:val="none" w:sz="0" w:space="0" w:color="auto"/>
                <w:left w:val="none" w:sz="0" w:space="0" w:color="auto"/>
                <w:bottom w:val="none" w:sz="0" w:space="0" w:color="auto"/>
                <w:right w:val="none" w:sz="0" w:space="0" w:color="auto"/>
              </w:divBdr>
              <w:divsChild>
                <w:div w:id="385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091">
      <w:bodyDiv w:val="1"/>
      <w:marLeft w:val="0"/>
      <w:marRight w:val="0"/>
      <w:marTop w:val="0"/>
      <w:marBottom w:val="0"/>
      <w:divBdr>
        <w:top w:val="none" w:sz="0" w:space="0" w:color="auto"/>
        <w:left w:val="none" w:sz="0" w:space="0" w:color="auto"/>
        <w:bottom w:val="none" w:sz="0" w:space="0" w:color="auto"/>
        <w:right w:val="none" w:sz="0" w:space="0" w:color="auto"/>
      </w:divBdr>
    </w:div>
    <w:div w:id="1559517617">
      <w:bodyDiv w:val="1"/>
      <w:marLeft w:val="0"/>
      <w:marRight w:val="0"/>
      <w:marTop w:val="0"/>
      <w:marBottom w:val="0"/>
      <w:divBdr>
        <w:top w:val="none" w:sz="0" w:space="0" w:color="auto"/>
        <w:left w:val="none" w:sz="0" w:space="0" w:color="auto"/>
        <w:bottom w:val="none" w:sz="0" w:space="0" w:color="auto"/>
        <w:right w:val="none" w:sz="0" w:space="0" w:color="auto"/>
      </w:divBdr>
    </w:div>
    <w:div w:id="20247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21DD-0057-4063-ABF4-DBE1B3F7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15</Pages>
  <Words>4390</Words>
  <Characters>23887</Characters>
  <Application>Microsoft Office Word</Application>
  <DocSecurity>0</DocSecurity>
  <Lines>1592</Lines>
  <Paragraphs>1087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Studenka</dc:creator>
  <cp:lastModifiedBy>Brenda Johnson</cp:lastModifiedBy>
  <cp:revision>92</cp:revision>
  <cp:lastPrinted>2013-05-31T15:49:00Z</cp:lastPrinted>
  <dcterms:created xsi:type="dcterms:W3CDTF">2018-05-10T17:02:00Z</dcterms:created>
  <dcterms:modified xsi:type="dcterms:W3CDTF">2018-10-02T15:18:00Z</dcterms:modified>
</cp:coreProperties>
</file>