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72" w:rsidRDefault="00715472" w:rsidP="00715472">
      <w:bookmarkStart w:id="0" w:name="_GoBack"/>
      <w:bookmarkEnd w:id="0"/>
      <w:r>
        <w:rPr>
          <w:b/>
        </w:rPr>
        <w:t xml:space="preserve">CHECKLIST FOR LOCATING AND DEVELOPING A NEW </w:t>
      </w:r>
      <w:r w:rsidR="006B6C86">
        <w:rPr>
          <w:b/>
        </w:rPr>
        <w:t xml:space="preserve">SURFACE WATER </w:t>
      </w:r>
      <w:r>
        <w:rPr>
          <w:b/>
        </w:rPr>
        <w:t>DRINKING WATER SOURCE</w:t>
      </w:r>
    </w:p>
    <w:p w:rsidR="00715472" w:rsidRDefault="00715472" w:rsidP="00715472">
      <w:pPr>
        <w:jc w:val="center"/>
      </w:pPr>
      <w:r>
        <w:rPr>
          <w:b/>
          <w:i/>
          <w:u w:val="single"/>
        </w:rPr>
        <w:t>To Do Before Construction</w:t>
      </w:r>
    </w:p>
    <w:p w:rsidR="00715472" w:rsidRDefault="00715472" w:rsidP="00715472"/>
    <w:p w:rsidR="00715472" w:rsidRDefault="00715472" w:rsidP="00715472">
      <w:pPr>
        <w:numPr>
          <w:ilvl w:val="0"/>
          <w:numId w:val="11"/>
        </w:numPr>
      </w:pPr>
      <w:r>
        <w:rPr>
          <w:b/>
        </w:rPr>
        <w:t>Preliminary Evaluation Report</w:t>
      </w:r>
    </w:p>
    <w:p w:rsidR="00715472" w:rsidRDefault="00715472" w:rsidP="00715472">
      <w:pPr>
        <w:numPr>
          <w:ilvl w:val="0"/>
          <w:numId w:val="2"/>
        </w:numPr>
        <w:tabs>
          <w:tab w:val="clear" w:pos="360"/>
          <w:tab w:val="left" w:pos="720"/>
          <w:tab w:val="num" w:pos="1170"/>
          <w:tab w:val="left" w:pos="1440"/>
        </w:tabs>
        <w:ind w:left="1170"/>
      </w:pPr>
      <w:r>
        <w:rPr>
          <w:b/>
        </w:rPr>
        <w:t>Delineation Report</w:t>
      </w:r>
      <w:r>
        <w:t xml:space="preserve"> </w:t>
      </w:r>
    </w:p>
    <w:p w:rsidR="00715472" w:rsidRDefault="00715472" w:rsidP="00715472">
      <w:pPr>
        <w:pStyle w:val="1ShadedBox"/>
        <w:tabs>
          <w:tab w:val="left" w:pos="1440"/>
          <w:tab w:val="left" w:pos="2160"/>
        </w:tabs>
        <w:ind w:left="1440" w:firstLine="0"/>
        <w:rPr>
          <w:sz w:val="20"/>
        </w:rPr>
      </w:pPr>
      <w:r>
        <w:rPr>
          <w:sz w:val="20"/>
        </w:rPr>
        <w:t xml:space="preserve">Request and obtain delineation report from the Division of Drinking Water (801-536-4200), </w:t>
      </w:r>
      <w:r>
        <w:rPr>
          <w:sz w:val="20"/>
          <w:u w:val="single"/>
        </w:rPr>
        <w:t>or</w:t>
      </w:r>
    </w:p>
    <w:p w:rsidR="00715472" w:rsidRDefault="00715472" w:rsidP="00715472">
      <w:pPr>
        <w:pStyle w:val="1ShadedBox"/>
        <w:tabs>
          <w:tab w:val="left" w:pos="1440"/>
          <w:tab w:val="left" w:pos="2160"/>
        </w:tabs>
        <w:ind w:left="0" w:firstLine="0"/>
        <w:rPr>
          <w:sz w:val="20"/>
        </w:rPr>
      </w:pPr>
      <w:r>
        <w:rPr>
          <w:sz w:val="20"/>
        </w:rPr>
        <w:tab/>
      </w:r>
      <w:r>
        <w:rPr>
          <w:sz w:val="20"/>
        </w:rPr>
        <w:tab/>
        <w:t>Prepare a report meeting the requirements of R309-605</w:t>
      </w:r>
    </w:p>
    <w:p w:rsidR="00715472" w:rsidRDefault="00715472" w:rsidP="00715472"/>
    <w:p w:rsidR="00715472" w:rsidRDefault="00715472" w:rsidP="00715472">
      <w:pPr>
        <w:numPr>
          <w:ilvl w:val="0"/>
          <w:numId w:val="3"/>
        </w:numPr>
        <w:tabs>
          <w:tab w:val="clear" w:pos="360"/>
          <w:tab w:val="left" w:pos="720"/>
          <w:tab w:val="num" w:pos="1170"/>
        </w:tabs>
        <w:ind w:left="1170"/>
        <w:rPr>
          <w:b/>
        </w:rPr>
      </w:pPr>
      <w:r>
        <w:rPr>
          <w:b/>
        </w:rPr>
        <w:t>Susceptibility Analysis and Determination</w:t>
      </w:r>
    </w:p>
    <w:p w:rsidR="00715472" w:rsidRDefault="00715472" w:rsidP="00715472">
      <w:pPr>
        <w:tabs>
          <w:tab w:val="left" w:pos="720"/>
          <w:tab w:val="left" w:pos="1440"/>
        </w:tabs>
        <w:rPr>
          <w:b/>
        </w:rPr>
      </w:pPr>
    </w:p>
    <w:p w:rsidR="00715472" w:rsidRDefault="00715472" w:rsidP="00715472">
      <w:pPr>
        <w:numPr>
          <w:ilvl w:val="0"/>
          <w:numId w:val="1"/>
        </w:numPr>
        <w:tabs>
          <w:tab w:val="clear" w:pos="360"/>
          <w:tab w:val="left" w:pos="720"/>
          <w:tab w:val="left" w:pos="1440"/>
          <w:tab w:val="num" w:pos="1800"/>
        </w:tabs>
        <w:ind w:left="1800"/>
      </w:pPr>
      <w:r>
        <w:t>Evaluate intake and sensitivity of the setting.</w:t>
      </w:r>
    </w:p>
    <w:p w:rsidR="00715472" w:rsidRDefault="00715472" w:rsidP="00715472">
      <w:pPr>
        <w:tabs>
          <w:tab w:val="left" w:pos="720"/>
          <w:tab w:val="left" w:pos="1440"/>
        </w:tabs>
        <w:ind w:left="1440"/>
      </w:pPr>
    </w:p>
    <w:p w:rsidR="00715472" w:rsidRDefault="00715472" w:rsidP="00715472">
      <w:pPr>
        <w:pStyle w:val="1ShadedBox"/>
        <w:numPr>
          <w:ilvl w:val="0"/>
          <w:numId w:val="4"/>
        </w:numPr>
        <w:tabs>
          <w:tab w:val="clear" w:pos="360"/>
          <w:tab w:val="left" w:pos="1440"/>
          <w:tab w:val="num" w:pos="1800"/>
          <w:tab w:val="left" w:pos="2160"/>
        </w:tabs>
        <w:ind w:left="1800"/>
        <w:rPr>
          <w:sz w:val="20"/>
        </w:rPr>
      </w:pPr>
      <w:r>
        <w:rPr>
          <w:sz w:val="20"/>
        </w:rPr>
        <w:t>Request and obtain inventory of larger potential contamination sources from the Division of Drinking Water.</w:t>
      </w:r>
    </w:p>
    <w:p w:rsidR="00715472" w:rsidRDefault="00715472" w:rsidP="00715472">
      <w:pPr>
        <w:pStyle w:val="1ShadedBox"/>
        <w:tabs>
          <w:tab w:val="left" w:pos="1440"/>
          <w:tab w:val="left" w:pos="2160"/>
        </w:tabs>
        <w:ind w:left="0" w:firstLine="0"/>
        <w:rPr>
          <w:sz w:val="20"/>
        </w:rPr>
      </w:pPr>
    </w:p>
    <w:p w:rsidR="00715472" w:rsidRDefault="00715472" w:rsidP="00715472">
      <w:pPr>
        <w:pStyle w:val="1ShadedBox"/>
        <w:numPr>
          <w:ilvl w:val="0"/>
          <w:numId w:val="5"/>
        </w:numPr>
        <w:tabs>
          <w:tab w:val="clear" w:pos="360"/>
          <w:tab w:val="left" w:pos="1440"/>
          <w:tab w:val="num" w:pos="1800"/>
          <w:tab w:val="left" w:pos="2160"/>
        </w:tabs>
        <w:ind w:left="1800"/>
        <w:rPr>
          <w:sz w:val="20"/>
        </w:rPr>
      </w:pPr>
      <w:r>
        <w:rPr>
          <w:sz w:val="20"/>
        </w:rPr>
        <w:t>Compile inventory of smaller Potential Contamination Sources within zones 1, 2 and 3 (as applicable) from local information (you may use the inventory report form provided by Division of Drinking Water (Appendix I), or your own method).  You may rely on the information provided by Division of Drinking Water for Potential Contamination Sources in zone 4.</w:t>
      </w:r>
    </w:p>
    <w:p w:rsidR="00715472" w:rsidRDefault="00715472" w:rsidP="00715472">
      <w:pPr>
        <w:pStyle w:val="1ShadedBox"/>
        <w:tabs>
          <w:tab w:val="left" w:pos="1440"/>
          <w:tab w:val="left" w:pos="2160"/>
        </w:tabs>
        <w:ind w:left="1440" w:firstLine="0"/>
        <w:rPr>
          <w:sz w:val="20"/>
        </w:rPr>
      </w:pPr>
    </w:p>
    <w:p w:rsidR="00715472" w:rsidRDefault="00715472" w:rsidP="00715472">
      <w:pPr>
        <w:pStyle w:val="1ShadedBox"/>
        <w:numPr>
          <w:ilvl w:val="0"/>
          <w:numId w:val="6"/>
        </w:numPr>
        <w:tabs>
          <w:tab w:val="clear" w:pos="360"/>
          <w:tab w:val="left" w:pos="1440"/>
          <w:tab w:val="num" w:pos="1800"/>
          <w:tab w:val="left" w:pos="2160"/>
        </w:tabs>
        <w:ind w:left="1800"/>
        <w:rPr>
          <w:sz w:val="20"/>
        </w:rPr>
      </w:pPr>
      <w:r>
        <w:rPr>
          <w:sz w:val="20"/>
        </w:rPr>
        <w:t>For each Potential Contamination Source (including those in zone 4), evaluate whether the Potential Contamination Source is controlled or not controlled (the evaluation criteria are included on the inventory form).</w:t>
      </w:r>
    </w:p>
    <w:p w:rsidR="00715472" w:rsidRDefault="00715472" w:rsidP="00715472">
      <w:pPr>
        <w:pStyle w:val="1ShadedBox"/>
        <w:tabs>
          <w:tab w:val="left" w:pos="1440"/>
          <w:tab w:val="left" w:pos="2160"/>
        </w:tabs>
        <w:ind w:left="1440" w:firstLine="0"/>
        <w:rPr>
          <w:sz w:val="20"/>
        </w:rPr>
      </w:pPr>
    </w:p>
    <w:p w:rsidR="00715472" w:rsidRDefault="00715472" w:rsidP="00715472">
      <w:pPr>
        <w:pStyle w:val="1ShadedBox"/>
        <w:numPr>
          <w:ilvl w:val="0"/>
          <w:numId w:val="7"/>
        </w:numPr>
        <w:tabs>
          <w:tab w:val="clear" w:pos="360"/>
          <w:tab w:val="left" w:pos="1440"/>
          <w:tab w:val="num" w:pos="1800"/>
          <w:tab w:val="left" w:pos="2160"/>
        </w:tabs>
        <w:ind w:left="1800"/>
        <w:rPr>
          <w:sz w:val="20"/>
        </w:rPr>
      </w:pPr>
      <w:r>
        <w:rPr>
          <w:sz w:val="20"/>
        </w:rPr>
        <w:t>For each Potential Contamination Source, evaluate how susceptible your drinking water source is to that Potential Contamination Source (you may use one of the susceptibility forms (Appendix H) provided by the Division of Drinking Water for this, or you may provide your own explanation for your susceptibility determinations).</w:t>
      </w:r>
    </w:p>
    <w:p w:rsidR="00715472" w:rsidRDefault="00715472" w:rsidP="00715472">
      <w:pPr>
        <w:pStyle w:val="1ShadedBox"/>
        <w:tabs>
          <w:tab w:val="left" w:pos="1440"/>
          <w:tab w:val="left" w:pos="2160"/>
        </w:tabs>
        <w:ind w:left="1440" w:firstLine="0"/>
        <w:rPr>
          <w:sz w:val="20"/>
        </w:rPr>
      </w:pPr>
    </w:p>
    <w:p w:rsidR="00715472" w:rsidRDefault="00715472" w:rsidP="00715472">
      <w:pPr>
        <w:pStyle w:val="1ShadedBox"/>
        <w:numPr>
          <w:ilvl w:val="0"/>
          <w:numId w:val="8"/>
        </w:numPr>
        <w:tabs>
          <w:tab w:val="clear" w:pos="360"/>
          <w:tab w:val="left" w:pos="1440"/>
          <w:tab w:val="num" w:pos="1800"/>
          <w:tab w:val="left" w:pos="2160"/>
        </w:tabs>
        <w:ind w:left="1800"/>
        <w:rPr>
          <w:sz w:val="20"/>
        </w:rPr>
      </w:pPr>
      <w:r>
        <w:rPr>
          <w:sz w:val="20"/>
        </w:rPr>
        <w:t>Organize your inventory to reflect which Potential Contamination Sources represent the most serious concern to your source water.</w:t>
      </w:r>
    </w:p>
    <w:p w:rsidR="00715472" w:rsidRDefault="00715472" w:rsidP="00715472"/>
    <w:p w:rsidR="00715472" w:rsidRDefault="00715472" w:rsidP="00715472">
      <w:pPr>
        <w:numPr>
          <w:ilvl w:val="0"/>
          <w:numId w:val="9"/>
        </w:numPr>
        <w:tabs>
          <w:tab w:val="clear" w:pos="360"/>
          <w:tab w:val="left" w:pos="720"/>
          <w:tab w:val="num" w:pos="1170"/>
          <w:tab w:val="left" w:pos="1440"/>
        </w:tabs>
        <w:ind w:left="1170"/>
      </w:pPr>
      <w:r>
        <w:rPr>
          <w:b/>
        </w:rPr>
        <w:t>Land Use Map</w:t>
      </w:r>
      <w:r>
        <w:t xml:space="preserve"> - A land use map which includes all land within zones one and two is required.  You may use existing maps or Geographic Information System data to satisfy this requirement. A land use map and list are not required if ordinances are used to protect these areas.   It is the responsibility of the Public Water System to cite and quote references and interpret the zoning ordinance to substantiate these restrictions.  Please do not send a zoning ordinance and expect Division of Drinking Water to do this research. </w:t>
      </w:r>
    </w:p>
    <w:p w:rsidR="00715472" w:rsidRDefault="00715472" w:rsidP="00715472"/>
    <w:p w:rsidR="00715472" w:rsidRDefault="00715472" w:rsidP="00715472">
      <w:pPr>
        <w:numPr>
          <w:ilvl w:val="0"/>
          <w:numId w:val="10"/>
        </w:numPr>
        <w:tabs>
          <w:tab w:val="clear" w:pos="360"/>
          <w:tab w:val="left" w:pos="720"/>
          <w:tab w:val="num" w:pos="1170"/>
          <w:tab w:val="left" w:pos="1440"/>
        </w:tabs>
        <w:ind w:left="1170"/>
        <w:rPr>
          <w:b/>
        </w:rPr>
      </w:pPr>
      <w:r>
        <w:rPr>
          <w:b/>
        </w:rPr>
        <w:t>Documentation of Division of Water Quality classification of source water</w:t>
      </w:r>
      <w:r>
        <w:t xml:space="preserve"> - with reference to R317-2, provide documentation of the classification of the source waters by the Division of Water </w:t>
      </w:r>
      <w:proofErr w:type="gramStart"/>
      <w:r>
        <w:t>Quality .</w:t>
      </w:r>
      <w:proofErr w:type="gramEnd"/>
      <w:r>
        <w:rPr>
          <w:b/>
        </w:rPr>
        <w:t xml:space="preserve">  </w:t>
      </w:r>
      <w:r>
        <w:rPr>
          <w:u w:val="single"/>
        </w:rPr>
        <w:t>If the source water is not currently classed as 1C under UAC R317-2, the Public Water System must request such a classification from the Division of Water Quality for zones 1 and 2, and must document the request. The Public Water System must also request that the source water be categorized as Category 1 or 2 under UAC R317-2-3.  Categorization of the source will reduce the potential for source water degradation from new pollution sources.</w:t>
      </w:r>
    </w:p>
    <w:p w:rsidR="00715472" w:rsidRDefault="00715472" w:rsidP="00715472"/>
    <w:p w:rsidR="00715472" w:rsidRDefault="00715472" w:rsidP="00715472">
      <w:pPr>
        <w:numPr>
          <w:ilvl w:val="0"/>
          <w:numId w:val="12"/>
        </w:numPr>
        <w:tabs>
          <w:tab w:val="clear" w:pos="360"/>
          <w:tab w:val="num" w:pos="1080"/>
        </w:tabs>
        <w:ind w:left="1080"/>
      </w:pPr>
      <w:r>
        <w:rPr>
          <w:b/>
        </w:rPr>
        <w:t>Engineering Plans and Specifications</w:t>
      </w:r>
      <w:r>
        <w:t xml:space="preserve"> -The pre-design submittal must be prepared and submitted to the Engineering section.    The Preliminary Evaluation Report must be concurrently prepared and submitted to the Special Services Section.   Following approval of the pre-design submittal and the Preliminary Evaluation Report, the pre-construction submittal must be approved by the Engineering section.  </w:t>
      </w:r>
    </w:p>
    <w:p w:rsidR="002D2AC4" w:rsidRDefault="002D2AC4"/>
    <w:sectPr w:rsidR="002D2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DA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12562C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61B42C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9534A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B553F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37906C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5E2533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3DEC42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42AE4C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A5B55E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5BE53B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71CE3F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1"/>
  </w:num>
  <w:num w:numId="2">
    <w:abstractNumId w:val="0"/>
  </w:num>
  <w:num w:numId="3">
    <w:abstractNumId w:val="5"/>
  </w:num>
  <w:num w:numId="4">
    <w:abstractNumId w:val="10"/>
  </w:num>
  <w:num w:numId="5">
    <w:abstractNumId w:val="4"/>
  </w:num>
  <w:num w:numId="6">
    <w:abstractNumId w:val="8"/>
  </w:num>
  <w:num w:numId="7">
    <w:abstractNumId w:val="2"/>
  </w:num>
  <w:num w:numId="8">
    <w:abstractNumId w:val="3"/>
  </w:num>
  <w:num w:numId="9">
    <w:abstractNumId w:val="1"/>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72"/>
    <w:rsid w:val="002D2AC4"/>
    <w:rsid w:val="00485016"/>
    <w:rsid w:val="006B6C86"/>
    <w:rsid w:val="0071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hadedBox">
    <w:name w:val="1Shaded Box"/>
    <w:rsid w:val="00715472"/>
    <w:pPr>
      <w:tabs>
        <w:tab w:val="left" w:pos="720"/>
      </w:tabs>
      <w:spacing w:after="0" w:line="240" w:lineRule="auto"/>
      <w:ind w:left="720" w:hanging="720"/>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hadedBox">
    <w:name w:val="1Shaded Box"/>
    <w:rsid w:val="00715472"/>
    <w:pPr>
      <w:tabs>
        <w:tab w:val="left" w:pos="720"/>
      </w:tabs>
      <w:spacing w:after="0" w:line="240" w:lineRule="auto"/>
      <w:ind w:left="720" w:hanging="72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Johnson</dc:creator>
  <cp:lastModifiedBy>Lisa Nelson</cp:lastModifiedBy>
  <cp:revision>2</cp:revision>
  <dcterms:created xsi:type="dcterms:W3CDTF">2018-04-10T20:53:00Z</dcterms:created>
  <dcterms:modified xsi:type="dcterms:W3CDTF">2018-04-10T20:53:00Z</dcterms:modified>
</cp:coreProperties>
</file>