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ABB" w:rsidRPr="00564F59" w:rsidRDefault="008F7DDB" w:rsidP="00B95821">
      <w:pPr>
        <w:pBdr>
          <w:bottom w:val="single" w:sz="8" w:space="5" w:color="auto"/>
        </w:pBdr>
        <w:rPr>
          <w:b/>
          <w:color w:val="A6A6A6" w:themeColor="background1" w:themeShade="A6"/>
          <w:sz w:val="32"/>
          <w:szCs w:val="32"/>
        </w:rPr>
      </w:pPr>
      <w:bookmarkStart w:id="0" w:name="_GoBack"/>
      <w:bookmarkEnd w:id="0"/>
      <w:r w:rsidRPr="00FB0C22">
        <w:rPr>
          <w:b/>
          <w:sz w:val="32"/>
          <w:szCs w:val="32"/>
        </w:rPr>
        <w:t xml:space="preserve">Utah Division of Drinking Water - Policy </w:t>
      </w:r>
      <w:r w:rsidR="00DF7504">
        <w:rPr>
          <w:b/>
          <w:sz w:val="32"/>
          <w:szCs w:val="32"/>
        </w:rPr>
        <w:t xml:space="preserve">to Implement </w:t>
      </w:r>
      <w:r w:rsidRPr="00FB0C22">
        <w:rPr>
          <w:b/>
          <w:sz w:val="32"/>
          <w:szCs w:val="32"/>
        </w:rPr>
        <w:t xml:space="preserve">a </w:t>
      </w:r>
      <w:r w:rsidR="00067ABB" w:rsidRPr="00FB0C22">
        <w:rPr>
          <w:b/>
          <w:sz w:val="32"/>
          <w:szCs w:val="32"/>
        </w:rPr>
        <w:t xml:space="preserve">Penalty </w:t>
      </w:r>
      <w:r w:rsidR="00777903">
        <w:rPr>
          <w:b/>
          <w:sz w:val="32"/>
          <w:szCs w:val="32"/>
        </w:rPr>
        <w:t>Fee</w:t>
      </w:r>
      <w:r w:rsidR="00067ABB" w:rsidRPr="00FB0C22">
        <w:rPr>
          <w:b/>
          <w:sz w:val="32"/>
          <w:szCs w:val="32"/>
        </w:rPr>
        <w:t xml:space="preserve"> for Construction without Plan Approval</w:t>
      </w:r>
    </w:p>
    <w:p w:rsidR="00840728" w:rsidRPr="00840728" w:rsidRDefault="00840728" w:rsidP="0081274B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8F7DDB" w:rsidRPr="00FB0C22" w:rsidRDefault="008F7DDB" w:rsidP="008F7DDB">
      <w:pPr>
        <w:pStyle w:val="ListParagraph"/>
        <w:numPr>
          <w:ilvl w:val="0"/>
          <w:numId w:val="6"/>
        </w:numPr>
        <w:rPr>
          <w:b/>
        </w:rPr>
      </w:pPr>
      <w:r w:rsidRPr="00FB0C22">
        <w:rPr>
          <w:b/>
        </w:rPr>
        <w:t>Intent</w:t>
      </w:r>
    </w:p>
    <w:p w:rsidR="008F7DDB" w:rsidRPr="008F7DDB" w:rsidRDefault="007F2782" w:rsidP="008F7DDB">
      <w:r>
        <w:t xml:space="preserve">Beginning July 1, 2015, the Division of Drinking Water </w:t>
      </w:r>
      <w:r w:rsidR="00056318">
        <w:t>(</w:t>
      </w:r>
      <w:r w:rsidR="008D7972">
        <w:t xml:space="preserve">the </w:t>
      </w:r>
      <w:r w:rsidR="00056318">
        <w:t xml:space="preserve">Division) </w:t>
      </w:r>
      <w:r>
        <w:t xml:space="preserve">is authorized to assess a penalty </w:t>
      </w:r>
      <w:r w:rsidR="00777903">
        <w:t>fee</w:t>
      </w:r>
      <w:r>
        <w:t xml:space="preserve"> of $1,00</w:t>
      </w:r>
      <w:r w:rsidR="00013A94">
        <w:t xml:space="preserve">0 for construction of </w:t>
      </w:r>
      <w:r w:rsidR="007F297A" w:rsidRPr="00564F59">
        <w:t>each</w:t>
      </w:r>
      <w:r w:rsidR="007F297A">
        <w:t xml:space="preserve"> Public Drinking Water Project</w:t>
      </w:r>
      <w:r w:rsidR="00013A94">
        <w:t xml:space="preserve"> without </w:t>
      </w:r>
      <w:r w:rsidR="001B64B8">
        <w:t>P</w:t>
      </w:r>
      <w:r>
        <w:t xml:space="preserve">lan </w:t>
      </w:r>
      <w:r w:rsidR="001B64B8">
        <w:t>A</w:t>
      </w:r>
      <w:r w:rsidR="008D2D1B">
        <w:t xml:space="preserve">pproval.  The Division </w:t>
      </w:r>
      <w:r w:rsidR="007F297A">
        <w:t>is establishing a policy</w:t>
      </w:r>
      <w:r w:rsidR="00013A94">
        <w:t xml:space="preserve"> </w:t>
      </w:r>
      <w:r w:rsidR="009107EB">
        <w:t xml:space="preserve">to </w:t>
      </w:r>
      <w:r>
        <w:t>ass</w:t>
      </w:r>
      <w:r w:rsidR="009107EB">
        <w:t>ess</w:t>
      </w:r>
      <w:r w:rsidR="001150E7">
        <w:t xml:space="preserve"> penalties consistently and</w:t>
      </w:r>
      <w:r>
        <w:t xml:space="preserve"> to </w:t>
      </w:r>
      <w:r w:rsidR="0047416A">
        <w:t>help</w:t>
      </w:r>
      <w:r>
        <w:t xml:space="preserve"> Public Water Systems </w:t>
      </w:r>
      <w:r w:rsidR="0047416A">
        <w:t xml:space="preserve">avoid penalties by </w:t>
      </w:r>
      <w:r w:rsidR="002504DF">
        <w:t xml:space="preserve">establishing clear guidelines for when </w:t>
      </w:r>
      <w:r w:rsidR="00335418">
        <w:t xml:space="preserve">and how </w:t>
      </w:r>
      <w:r w:rsidR="002504DF">
        <w:t>a penalty will be assessed</w:t>
      </w:r>
      <w:r>
        <w:t>.</w:t>
      </w:r>
    </w:p>
    <w:p w:rsidR="008F7DDB" w:rsidRDefault="008F7DDB"/>
    <w:p w:rsidR="00777903" w:rsidRDefault="00777903" w:rsidP="00FB0C2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Background</w:t>
      </w:r>
    </w:p>
    <w:p w:rsidR="00777903" w:rsidRDefault="00777903" w:rsidP="00777903">
      <w:pPr>
        <w:pStyle w:val="ListParagraph"/>
        <w:numPr>
          <w:ilvl w:val="0"/>
          <w:numId w:val="9"/>
        </w:numPr>
      </w:pPr>
      <w:r>
        <w:t>R309-500-4 requires Public Drinking Water Project</w:t>
      </w:r>
      <w:r w:rsidR="002504DF">
        <w:t>s</w:t>
      </w:r>
      <w:r>
        <w:t xml:space="preserve"> to obtain</w:t>
      </w:r>
      <w:r w:rsidR="002504DF">
        <w:t xml:space="preserve"> Plan Approval or </w:t>
      </w:r>
      <w:r>
        <w:t>Plan Submittal Waiver</w:t>
      </w:r>
      <w:r w:rsidR="002504DF">
        <w:t>s</w:t>
      </w:r>
      <w:r>
        <w:t xml:space="preserve"> issued by the Director of the Division of Drinking Water </w:t>
      </w:r>
      <w:r w:rsidR="00056318">
        <w:t>(</w:t>
      </w:r>
      <w:r w:rsidR="008D7972">
        <w:t xml:space="preserve">the </w:t>
      </w:r>
      <w:r w:rsidR="00056318">
        <w:t xml:space="preserve">Director) </w:t>
      </w:r>
      <w:r>
        <w:t>prior to the start of construction.  Examples of Public Drinking Water Projects include the following:</w:t>
      </w:r>
    </w:p>
    <w:p w:rsidR="00777903" w:rsidRDefault="00777903" w:rsidP="00777903"/>
    <w:p w:rsidR="00777903" w:rsidRDefault="00777903" w:rsidP="00777903">
      <w:pPr>
        <w:pStyle w:val="ListParagraph"/>
        <w:numPr>
          <w:ilvl w:val="0"/>
          <w:numId w:val="4"/>
        </w:numPr>
      </w:pPr>
      <w:r>
        <w:t>Construction of a proposed drinking water system facility</w:t>
      </w:r>
    </w:p>
    <w:p w:rsidR="00777903" w:rsidRDefault="00777903" w:rsidP="00777903">
      <w:pPr>
        <w:pStyle w:val="ListParagraph"/>
        <w:numPr>
          <w:ilvl w:val="0"/>
          <w:numId w:val="4"/>
        </w:numPr>
      </w:pPr>
      <w:r>
        <w:t>The addition or modification of a drinking water system facility that may affect the quality or quantity of drinking water</w:t>
      </w:r>
    </w:p>
    <w:p w:rsidR="00777903" w:rsidRPr="00777903" w:rsidRDefault="00777903" w:rsidP="00777903">
      <w:pPr>
        <w:pStyle w:val="ListParagraph"/>
        <w:numPr>
          <w:ilvl w:val="0"/>
          <w:numId w:val="4"/>
        </w:numPr>
      </w:pPr>
      <w:r>
        <w:t xml:space="preserve">Any activity that may affect the quality or quantity of drinking water, </w:t>
      </w:r>
      <w:r w:rsidR="00620E98">
        <w:t>such as</w:t>
      </w:r>
      <w:r>
        <w:t xml:space="preserve"> </w:t>
      </w:r>
      <w:r w:rsidR="00254057">
        <w:t xml:space="preserve">adding multi-connection subdivisions or industrial/commercial water users; </w:t>
      </w:r>
      <w:r>
        <w:t>w</w:t>
      </w:r>
      <w:r w:rsidR="00254057">
        <w:t>ater tank recoating or relining; water line relining;</w:t>
      </w:r>
      <w:r>
        <w:t xml:space="preserve"> change or addition of a water tr</w:t>
      </w:r>
      <w:r w:rsidR="00254057">
        <w:t>eatment process;</w:t>
      </w:r>
      <w:r>
        <w:t xml:space="preserve"> </w:t>
      </w:r>
      <w:r w:rsidR="00254057">
        <w:t>development of surface sources, springs, or wells; spring or well redevelopment;</w:t>
      </w:r>
      <w:r>
        <w:t xml:space="preserve"> </w:t>
      </w:r>
      <w:r w:rsidR="00620E98">
        <w:t>modification</w:t>
      </w:r>
      <w:r w:rsidR="00254057">
        <w:t xml:space="preserve">s to </w:t>
      </w:r>
      <w:r w:rsidR="00D83AA6">
        <w:t>a water treatment plant</w:t>
      </w:r>
      <w:r w:rsidR="00254057">
        <w:t xml:space="preserve">; </w:t>
      </w:r>
      <w:r>
        <w:t>replacement of a well pump w</w:t>
      </w:r>
      <w:r w:rsidR="00254057">
        <w:t>ith one of a different capacity;</w:t>
      </w:r>
      <w:r>
        <w:t xml:space="preserve"> or deepening of a well</w:t>
      </w:r>
    </w:p>
    <w:p w:rsidR="00777903" w:rsidRDefault="00777903" w:rsidP="00777903">
      <w:pPr>
        <w:pStyle w:val="ListParagraph"/>
        <w:ind w:left="360"/>
        <w:rPr>
          <w:b/>
        </w:rPr>
      </w:pPr>
    </w:p>
    <w:p w:rsidR="00777903" w:rsidRDefault="00777903" w:rsidP="00777903">
      <w:pPr>
        <w:pStyle w:val="ListParagraph"/>
        <w:numPr>
          <w:ilvl w:val="0"/>
          <w:numId w:val="9"/>
        </w:numPr>
      </w:pPr>
      <w:r>
        <w:t xml:space="preserve">Public Drinking Water Projects do not include on-going operation </w:t>
      </w:r>
      <w:r w:rsidR="004853B5">
        <w:t>and maintenance projects, which</w:t>
      </w:r>
      <w:r w:rsidR="002504DF">
        <w:t xml:space="preserve"> </w:t>
      </w:r>
      <w:r>
        <w:t>do not require</w:t>
      </w:r>
      <w:r w:rsidR="002504DF">
        <w:t xml:space="preserve"> Plan Approval or </w:t>
      </w:r>
      <w:r>
        <w:t>Plan Submittal Waiver</w:t>
      </w:r>
      <w:r w:rsidR="002504DF">
        <w:t>s</w:t>
      </w:r>
      <w:r>
        <w:t>.  Examples of operation and maintenance projects include the following:</w:t>
      </w:r>
    </w:p>
    <w:p w:rsidR="00777903" w:rsidRPr="00250E38" w:rsidRDefault="00777903" w:rsidP="00777903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Repairing water line leaks</w:t>
      </w: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Replacing deteriorated water lines not involving long-term planning and complex design</w:t>
      </w: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Tapping water mains for new service connections</w:t>
      </w: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Adding 500 feet or less of new water distribution lines of the same size as existing lines</w:t>
      </w: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Inspecting, cleaning, or maintaining water storage tanks</w:t>
      </w:r>
    </w:p>
    <w:p w:rsidR="00777903" w:rsidRDefault="00777903" w:rsidP="00777903">
      <w:pPr>
        <w:pStyle w:val="ListParagraph"/>
        <w:numPr>
          <w:ilvl w:val="0"/>
          <w:numId w:val="3"/>
        </w:numPr>
      </w:pPr>
      <w:r>
        <w:t>Replacing equipment with the same type, size, or rated capacity of existing equipment, including fire hydrants, valves, pressure regulators, meters, service laterals, chemical feeders, or booster pumps</w:t>
      </w:r>
    </w:p>
    <w:p w:rsidR="00777903" w:rsidRDefault="00777903" w:rsidP="00777903"/>
    <w:p w:rsidR="00777903" w:rsidRDefault="00254057" w:rsidP="00DF7504">
      <w:pPr>
        <w:ind w:left="720"/>
      </w:pPr>
      <w:r>
        <w:t>The D</w:t>
      </w:r>
      <w:r w:rsidR="00777903">
        <w:t xml:space="preserve">ivision </w:t>
      </w:r>
      <w:r>
        <w:t>does not</w:t>
      </w:r>
      <w:r w:rsidR="00777903">
        <w:t xml:space="preserve"> assess penalties </w:t>
      </w:r>
      <w:r w:rsidR="009A7650">
        <w:t>related to</w:t>
      </w:r>
      <w:r w:rsidR="00777903">
        <w:t xml:space="preserve"> ongoing operation and maintenance projects because they do not require Plan Approval.</w:t>
      </w:r>
    </w:p>
    <w:p w:rsidR="00777903" w:rsidRPr="00777903" w:rsidRDefault="00777903" w:rsidP="00777903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2E2F51" w:rsidRDefault="002E2F51">
      <w:pPr>
        <w:rPr>
          <w:b/>
        </w:rPr>
      </w:pPr>
      <w:r>
        <w:rPr>
          <w:b/>
        </w:rPr>
        <w:br w:type="page"/>
      </w:r>
    </w:p>
    <w:p w:rsidR="008F7DDB" w:rsidRPr="00FB0C22" w:rsidRDefault="009A7650" w:rsidP="00FB0C2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Penalty </w:t>
      </w:r>
      <w:r w:rsidR="001C08A7">
        <w:rPr>
          <w:b/>
        </w:rPr>
        <w:t>Assessment</w:t>
      </w:r>
    </w:p>
    <w:p w:rsidR="00013A94" w:rsidRDefault="00254057" w:rsidP="009A7650">
      <w:pPr>
        <w:pStyle w:val="ListParagraph"/>
        <w:numPr>
          <w:ilvl w:val="0"/>
          <w:numId w:val="10"/>
        </w:numPr>
      </w:pPr>
      <w:r>
        <w:t>The Division</w:t>
      </w:r>
      <w:r w:rsidR="005116C8">
        <w:t xml:space="preserve"> will assess a penalty of $1,000 for each Public Drinking Water Project that starts cons</w:t>
      </w:r>
      <w:r w:rsidR="00F17290">
        <w:t>truction</w:t>
      </w:r>
      <w:r w:rsidR="005116C8">
        <w:t xml:space="preserve"> </w:t>
      </w:r>
      <w:r w:rsidR="00013A94">
        <w:t xml:space="preserve">on </w:t>
      </w:r>
      <w:r w:rsidR="009107EB">
        <w:t xml:space="preserve">or after </w:t>
      </w:r>
      <w:r w:rsidR="005116C8">
        <w:t xml:space="preserve">July </w:t>
      </w:r>
      <w:r w:rsidR="009107EB">
        <w:t xml:space="preserve">1, 2015, </w:t>
      </w:r>
      <w:r w:rsidR="005116C8">
        <w:t>without Plan Approv</w:t>
      </w:r>
      <w:r w:rsidR="00013A94">
        <w:t>al or a Plan Submittal Waiver</w:t>
      </w:r>
      <w:r w:rsidR="00DF7504">
        <w:t xml:space="preserve"> except as described </w:t>
      </w:r>
      <w:r w:rsidR="002E2F51">
        <w:t>in item</w:t>
      </w:r>
      <w:r>
        <w:t xml:space="preserve"> b.</w:t>
      </w:r>
      <w:r w:rsidR="004853B5">
        <w:t xml:space="preserve"> </w:t>
      </w:r>
      <w:r w:rsidR="00DF7504">
        <w:t>below</w:t>
      </w:r>
      <w:r w:rsidR="00013A94">
        <w:t>.</w:t>
      </w:r>
    </w:p>
    <w:p w:rsidR="008D7972" w:rsidRDefault="008D7972" w:rsidP="008D7972">
      <w:pPr>
        <w:pStyle w:val="ListParagraph"/>
      </w:pPr>
    </w:p>
    <w:p w:rsidR="008D7972" w:rsidRDefault="008D7972" w:rsidP="009A7650">
      <w:pPr>
        <w:pStyle w:val="ListParagraph"/>
        <w:numPr>
          <w:ilvl w:val="0"/>
          <w:numId w:val="10"/>
        </w:numPr>
      </w:pPr>
      <w:r>
        <w:t>The Division will not assess penalties for the following drinking water projects.  However, the</w:t>
      </w:r>
      <w:r w:rsidR="002E2F51">
        <w:t>se</w:t>
      </w:r>
      <w:r>
        <w:t xml:space="preserve"> projects must be reported to the Division and must receive after-the-fact Plan Approvals and/or Operating Permits from the Division.</w:t>
      </w:r>
    </w:p>
    <w:p w:rsidR="00013A94" w:rsidRDefault="00013A94" w:rsidP="0045086E"/>
    <w:p w:rsidR="008D7972" w:rsidRDefault="008D7972" w:rsidP="008D7972">
      <w:pPr>
        <w:pStyle w:val="ListParagraph"/>
        <w:numPr>
          <w:ilvl w:val="1"/>
          <w:numId w:val="10"/>
        </w:numPr>
      </w:pPr>
      <w:r>
        <w:t xml:space="preserve">Public Drinking Water Projects that have been constructed or started construction </w:t>
      </w:r>
      <w:r w:rsidRPr="002E2F51">
        <w:rPr>
          <w:i/>
        </w:rPr>
        <w:t>prior</w:t>
      </w:r>
      <w:r>
        <w:t xml:space="preserve"> to July 1, 2015, without Plan Approvals or Plan Submittal Waivers.</w:t>
      </w:r>
    </w:p>
    <w:p w:rsidR="008D7972" w:rsidRDefault="0045086E" w:rsidP="008D7972">
      <w:pPr>
        <w:pStyle w:val="ListParagraph"/>
        <w:numPr>
          <w:ilvl w:val="1"/>
          <w:numId w:val="10"/>
        </w:numPr>
      </w:pPr>
      <w:r>
        <w:t>Public Drinking Water Project</w:t>
      </w:r>
      <w:r w:rsidR="009A7650">
        <w:t>s</w:t>
      </w:r>
      <w:r>
        <w:t xml:space="preserve"> </w:t>
      </w:r>
      <w:r w:rsidR="009A7650">
        <w:t>that have</w:t>
      </w:r>
      <w:r>
        <w:t xml:space="preserve"> </w:t>
      </w:r>
      <w:r w:rsidR="00DF7504">
        <w:t>an estimated construction cost of $1</w:t>
      </w:r>
      <w:r w:rsidR="00E012D6">
        <w:t>0,000 or less</w:t>
      </w:r>
      <w:r w:rsidR="00335418" w:rsidRPr="008D7972">
        <w:rPr>
          <w:color w:val="FF0000"/>
        </w:rPr>
        <w:t xml:space="preserve"> </w:t>
      </w:r>
      <w:r w:rsidR="00DF7504">
        <w:t xml:space="preserve">and have </w:t>
      </w:r>
      <w:r>
        <w:t>been constru</w:t>
      </w:r>
      <w:r w:rsidR="009107EB">
        <w:t>cted without Plan Approval</w:t>
      </w:r>
      <w:r w:rsidR="001C08A7">
        <w:t>s</w:t>
      </w:r>
      <w:r w:rsidR="009107EB">
        <w:t xml:space="preserve"> or </w:t>
      </w:r>
      <w:r>
        <w:t>Plan Submittal Waiver</w:t>
      </w:r>
      <w:r w:rsidR="009107EB">
        <w:t>s</w:t>
      </w:r>
      <w:r w:rsidR="00B95821">
        <w:t>.</w:t>
      </w:r>
    </w:p>
    <w:p w:rsidR="00B95821" w:rsidRPr="008D7972" w:rsidRDefault="008D7972" w:rsidP="008D7972">
      <w:pPr>
        <w:pStyle w:val="ListParagraph"/>
        <w:numPr>
          <w:ilvl w:val="1"/>
          <w:numId w:val="10"/>
        </w:numPr>
      </w:pPr>
      <w:r>
        <w:t>F</w:t>
      </w:r>
      <w:r w:rsidR="00B95821" w:rsidRPr="00B95821">
        <w:t xml:space="preserve">acilities </w:t>
      </w:r>
      <w:r>
        <w:t xml:space="preserve">that </w:t>
      </w:r>
      <w:r w:rsidR="00B95821" w:rsidRPr="00B95821">
        <w:t xml:space="preserve">were constructed </w:t>
      </w:r>
      <w:r w:rsidR="001B6509">
        <w:t xml:space="preserve">by a water </w:t>
      </w:r>
      <w:r w:rsidR="00F97169">
        <w:t>provider</w:t>
      </w:r>
      <w:r w:rsidR="001B6509">
        <w:t xml:space="preserve"> that did not meet the definition of a </w:t>
      </w:r>
      <w:r w:rsidR="00B95821" w:rsidRPr="00B95821">
        <w:t xml:space="preserve">Public Water System </w:t>
      </w:r>
      <w:r w:rsidR="001B6509">
        <w:t xml:space="preserve">at the time of construction </w:t>
      </w:r>
      <w:r w:rsidR="0081274B">
        <w:t>but</w:t>
      </w:r>
      <w:r w:rsidR="001B6509">
        <w:t xml:space="preserve"> subsequently became </w:t>
      </w:r>
      <w:r w:rsidR="00E851B1">
        <w:t>a Public Water System</w:t>
      </w:r>
      <w:r w:rsidR="00B95821" w:rsidRPr="00B95821">
        <w:t xml:space="preserve">.  In other words, the facilities were constructed when the </w:t>
      </w:r>
      <w:r w:rsidR="00F97169">
        <w:t>provider</w:t>
      </w:r>
      <w:r w:rsidR="00B95821" w:rsidRPr="00B95821">
        <w:t xml:space="preserve"> served fewer than 25 individuals and fewe</w:t>
      </w:r>
      <w:r w:rsidR="001C08A7">
        <w:t>r than 15 service connections.</w:t>
      </w:r>
    </w:p>
    <w:p w:rsidR="009A7650" w:rsidRPr="009A7650" w:rsidRDefault="009A7650" w:rsidP="009A7650">
      <w:pPr>
        <w:pStyle w:val="ListParagraph"/>
        <w:rPr>
          <w:b/>
        </w:rPr>
      </w:pPr>
    </w:p>
    <w:p w:rsidR="009A7650" w:rsidRPr="000D3961" w:rsidRDefault="00620E98" w:rsidP="009A7650">
      <w:pPr>
        <w:pStyle w:val="ListParagraph"/>
        <w:numPr>
          <w:ilvl w:val="0"/>
          <w:numId w:val="10"/>
        </w:numPr>
        <w:rPr>
          <w:b/>
        </w:rPr>
      </w:pPr>
      <w:r>
        <w:t xml:space="preserve">A </w:t>
      </w:r>
      <w:r w:rsidR="009A7650">
        <w:t>Public Water System will be</w:t>
      </w:r>
      <w:r w:rsidR="009A7650" w:rsidRPr="00013A94">
        <w:t xml:space="preserve"> </w:t>
      </w:r>
      <w:r w:rsidR="009A7650">
        <w:t>assessed 50 to 200 Improvement Priority System (IPS) deficiency points for constructing a project without Plan Approval</w:t>
      </w:r>
      <w:r>
        <w:t xml:space="preserve"> whether or not a penalty is assessed.  The</w:t>
      </w:r>
      <w:r w:rsidR="009A7650">
        <w:t xml:space="preserve"> deficiency </w:t>
      </w:r>
      <w:r>
        <w:t>for construction without Plan Approval will remain</w:t>
      </w:r>
      <w:r w:rsidR="009A7650">
        <w:t xml:space="preserve"> </w:t>
      </w:r>
      <w:r w:rsidR="002E2F51">
        <w:t xml:space="preserve">in effect </w:t>
      </w:r>
      <w:r w:rsidR="009A7650">
        <w:t>until Pla</w:t>
      </w:r>
      <w:r w:rsidR="002504DF">
        <w:t xml:space="preserve">n Approval and </w:t>
      </w:r>
      <w:r w:rsidR="009107EB">
        <w:t xml:space="preserve">an </w:t>
      </w:r>
      <w:r w:rsidR="002504DF">
        <w:t>Operating Permit</w:t>
      </w:r>
      <w:r w:rsidR="009A7650">
        <w:t xml:space="preserve"> for the project</w:t>
      </w:r>
      <w:r w:rsidR="002504DF">
        <w:t xml:space="preserve"> </w:t>
      </w:r>
      <w:r w:rsidR="009107EB">
        <w:t>are</w:t>
      </w:r>
      <w:r w:rsidR="002504DF">
        <w:t xml:space="preserve"> </w:t>
      </w:r>
      <w:r w:rsidR="000D3961">
        <w:t>issued by the Director.</w:t>
      </w:r>
    </w:p>
    <w:p w:rsidR="000D3961" w:rsidRPr="000D3961" w:rsidRDefault="000D3961" w:rsidP="000D3961">
      <w:pPr>
        <w:pStyle w:val="ListParagraph"/>
        <w:rPr>
          <w:b/>
        </w:rPr>
      </w:pPr>
    </w:p>
    <w:p w:rsidR="000D3961" w:rsidRPr="009A7650" w:rsidRDefault="000D3961" w:rsidP="009A7650">
      <w:pPr>
        <w:pStyle w:val="ListParagraph"/>
        <w:numPr>
          <w:ilvl w:val="0"/>
          <w:numId w:val="10"/>
        </w:numPr>
        <w:rPr>
          <w:b/>
        </w:rPr>
      </w:pPr>
      <w:r>
        <w:t xml:space="preserve">If a penalty has not been paid within 120 days after the date of the assessment notice, 100 IPS deficiency points will be assessed to the Public Water System </w:t>
      </w:r>
      <w:r w:rsidR="00E43B65">
        <w:t>for failure to comply with a division directive</w:t>
      </w:r>
      <w:r w:rsidR="00620E98">
        <w:t xml:space="preserve"> per R309-400-11(6)(a)</w:t>
      </w:r>
      <w:r w:rsidR="00E43B65">
        <w:t>.  T</w:t>
      </w:r>
      <w:r>
        <w:t>he p</w:t>
      </w:r>
      <w:r w:rsidR="00620E98">
        <w:t>enalty fee deficiency</w:t>
      </w:r>
      <w:r>
        <w:t xml:space="preserve"> will remain in effect until the penalty is paid</w:t>
      </w:r>
      <w:r w:rsidR="00620E98">
        <w:t>.  If the penalty remains unpaid, the deficiency will remain effective</w:t>
      </w:r>
      <w:r>
        <w:t xml:space="preserve"> for three years.</w:t>
      </w:r>
    </w:p>
    <w:p w:rsidR="00B95821" w:rsidRPr="00B95821" w:rsidRDefault="00B95821" w:rsidP="00B95821"/>
    <w:p w:rsidR="00FB0C22" w:rsidRDefault="00FB0C22" w:rsidP="00FB0C22">
      <w:pPr>
        <w:pStyle w:val="ListParagraph"/>
        <w:numPr>
          <w:ilvl w:val="0"/>
          <w:numId w:val="6"/>
        </w:numPr>
      </w:pPr>
      <w:r w:rsidRPr="00FB0C22">
        <w:rPr>
          <w:b/>
        </w:rPr>
        <w:t>Written Notice of Penalty Assessment</w:t>
      </w:r>
    </w:p>
    <w:p w:rsidR="003F7E9F" w:rsidRDefault="00620E98" w:rsidP="003F7E9F">
      <w:r>
        <w:t>The Director</w:t>
      </w:r>
      <w:r w:rsidR="0052730F">
        <w:t xml:space="preserve"> will send written notice </w:t>
      </w:r>
      <w:r w:rsidR="00336BF1">
        <w:t xml:space="preserve">of a penalty assessment </w:t>
      </w:r>
      <w:r w:rsidR="0052730F">
        <w:t xml:space="preserve">to </w:t>
      </w:r>
      <w:r w:rsidR="00F53946">
        <w:t>a Public Water System</w:t>
      </w:r>
      <w:r w:rsidR="0044055A">
        <w:t xml:space="preserve"> that </w:t>
      </w:r>
      <w:r>
        <w:t>start</w:t>
      </w:r>
      <w:r w:rsidR="00F53946">
        <w:t>s</w:t>
      </w:r>
      <w:r w:rsidR="0044055A">
        <w:t xml:space="preserve"> construction of </w:t>
      </w:r>
      <w:r w:rsidR="00F53946">
        <w:t xml:space="preserve">a </w:t>
      </w:r>
      <w:r w:rsidR="0044055A">
        <w:t>Pu</w:t>
      </w:r>
      <w:r w:rsidR="00F53946">
        <w:t>blic Drinking Water Project</w:t>
      </w:r>
      <w:r w:rsidR="0044055A">
        <w:t xml:space="preserve"> without obtaining Plan Approval or a Plan Submittal Waiver</w:t>
      </w:r>
      <w:r w:rsidR="00335418">
        <w:t xml:space="preserve"> as described above</w:t>
      </w:r>
      <w:r w:rsidR="0052730F">
        <w:t xml:space="preserve">.  The water system </w:t>
      </w:r>
      <w:r w:rsidR="0044055A">
        <w:t xml:space="preserve">will have </w:t>
      </w:r>
      <w:r w:rsidR="00E43B65">
        <w:t>12</w:t>
      </w:r>
      <w:r w:rsidR="0044055A">
        <w:t xml:space="preserve">0 days </w:t>
      </w:r>
      <w:r>
        <w:t>from the date</w:t>
      </w:r>
      <w:r w:rsidR="00682488">
        <w:t xml:space="preserve"> </w:t>
      </w:r>
      <w:r w:rsidR="000B073B">
        <w:t xml:space="preserve">of the notice </w:t>
      </w:r>
      <w:r w:rsidR="0044055A">
        <w:t>to pay the penalty by check or money order.</w:t>
      </w:r>
    </w:p>
    <w:p w:rsidR="003F7E9F" w:rsidRDefault="003F7E9F" w:rsidP="003F7E9F"/>
    <w:p w:rsidR="00FB0C22" w:rsidRPr="00F97169" w:rsidRDefault="00FB0C22" w:rsidP="00FB0C22">
      <w:pPr>
        <w:pStyle w:val="ListParagraph"/>
        <w:numPr>
          <w:ilvl w:val="0"/>
          <w:numId w:val="6"/>
        </w:numPr>
        <w:rPr>
          <w:b/>
        </w:rPr>
      </w:pPr>
      <w:r w:rsidRPr="00FB0C22">
        <w:rPr>
          <w:b/>
        </w:rPr>
        <w:t>Challenge to Penalty Assessment</w:t>
      </w:r>
    </w:p>
    <w:p w:rsidR="000D3961" w:rsidRDefault="003F7E9F" w:rsidP="00F53946">
      <w:r>
        <w:t xml:space="preserve">A Public Water System that has received notice of a penalty assessment for failure to obtain Plan Approval has </w:t>
      </w:r>
      <w:r w:rsidR="00682488">
        <w:t>30</w:t>
      </w:r>
      <w:r>
        <w:t xml:space="preserve"> days from receipt of the written notice to </w:t>
      </w:r>
      <w:r w:rsidR="00682488">
        <w:t>challenge</w:t>
      </w:r>
      <w:r w:rsidR="009107EB">
        <w:t xml:space="preserve"> the </w:t>
      </w:r>
      <w:r>
        <w:t>assessment.</w:t>
      </w:r>
      <w:r w:rsidR="00682488">
        <w:t xml:space="preserve">  The challenge must be in writing, be addressed to the Director of the Division of Drinking Water, be received by the Director within 30 days </w:t>
      </w:r>
      <w:r w:rsidR="00E43B65">
        <w:t>after</w:t>
      </w:r>
      <w:r w:rsidR="00682488">
        <w:t xml:space="preserve"> receipt of the penalty assessment</w:t>
      </w:r>
      <w:r w:rsidR="00336BF1">
        <w:t xml:space="preserve"> notice</w:t>
      </w:r>
      <w:r w:rsidR="00E012D6">
        <w:t xml:space="preserve">, and </w:t>
      </w:r>
      <w:r w:rsidR="00E43B65">
        <w:t>include</w:t>
      </w:r>
      <w:r w:rsidR="000D3961">
        <w:t xml:space="preserve"> documentation supporting</w:t>
      </w:r>
      <w:r w:rsidR="00E012D6">
        <w:t xml:space="preserve"> w</w:t>
      </w:r>
      <w:r w:rsidR="000D3961">
        <w:t>hy the penalty should not be assessed based on one or more of the following conditions:</w:t>
      </w:r>
    </w:p>
    <w:p w:rsidR="002E2F51" w:rsidRDefault="002E2F51">
      <w:r>
        <w:br w:type="page"/>
      </w:r>
    </w:p>
    <w:p w:rsidR="00E012D6" w:rsidRDefault="000D3961" w:rsidP="000D3961">
      <w:pPr>
        <w:pStyle w:val="ListParagraph"/>
        <w:numPr>
          <w:ilvl w:val="0"/>
          <w:numId w:val="11"/>
        </w:numPr>
      </w:pPr>
      <w:r>
        <w:lastRenderedPageBreak/>
        <w:t>Plan review was not required for the project</w:t>
      </w:r>
    </w:p>
    <w:p w:rsidR="000D3961" w:rsidRDefault="000D3961" w:rsidP="000D3961">
      <w:pPr>
        <w:pStyle w:val="ListParagraph"/>
        <w:numPr>
          <w:ilvl w:val="0"/>
          <w:numId w:val="11"/>
        </w:numPr>
      </w:pPr>
      <w:r>
        <w:t>The Public Drinking Water Project was constructed prior to July 1, 2015</w:t>
      </w:r>
    </w:p>
    <w:p w:rsidR="000D3961" w:rsidRDefault="000D3961" w:rsidP="000D3961">
      <w:pPr>
        <w:pStyle w:val="ListParagraph"/>
        <w:numPr>
          <w:ilvl w:val="0"/>
          <w:numId w:val="11"/>
        </w:numPr>
      </w:pPr>
      <w:r>
        <w:t>The Public Drinking Water Project cost was $10,000 or less</w:t>
      </w:r>
    </w:p>
    <w:p w:rsidR="00620E98" w:rsidRDefault="00620E98" w:rsidP="000D3961">
      <w:pPr>
        <w:pStyle w:val="ListParagraph"/>
        <w:numPr>
          <w:ilvl w:val="0"/>
          <w:numId w:val="11"/>
        </w:numPr>
      </w:pPr>
      <w:r>
        <w:t>The water provider was not a Public Water System when the facility was constructed</w:t>
      </w:r>
    </w:p>
    <w:p w:rsidR="00E012D6" w:rsidRDefault="00E012D6" w:rsidP="00F53946"/>
    <w:p w:rsidR="009B12FD" w:rsidRDefault="00682488" w:rsidP="00F53946">
      <w:r>
        <w:t xml:space="preserve">The Director will respond to </w:t>
      </w:r>
      <w:r w:rsidR="00F97169">
        <w:t>a penalty assessment challenge</w:t>
      </w:r>
      <w:r>
        <w:t xml:space="preserve"> in writing with a final decision.  If the penalty assessment is upheld, the water system will have </w:t>
      </w:r>
      <w:r w:rsidR="000D3961">
        <w:t>120</w:t>
      </w:r>
      <w:r>
        <w:t xml:space="preserve"> days from receipt of the Director’s decision to pay the penalty.</w:t>
      </w:r>
    </w:p>
    <w:sectPr w:rsidR="009B12FD" w:rsidSect="002504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B" w:rsidRDefault="008F7DDB" w:rsidP="008F7DDB">
      <w:r>
        <w:separator/>
      </w:r>
    </w:p>
  </w:endnote>
  <w:endnote w:type="continuationSeparator" w:id="0">
    <w:p w:rsidR="008F7DDB" w:rsidRDefault="008F7DDB" w:rsidP="008F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DB" w:rsidRPr="008F7DDB" w:rsidRDefault="008F7DDB" w:rsidP="008F7DDB">
    <w:pPr>
      <w:widowControl w:val="0"/>
      <w:tabs>
        <w:tab w:val="left" w:pos="720"/>
        <w:tab w:val="center" w:pos="4320"/>
        <w:tab w:val="right" w:pos="9360"/>
      </w:tabs>
      <w:autoSpaceDE w:val="0"/>
      <w:autoSpaceDN w:val="0"/>
      <w:adjustRightInd w:val="0"/>
      <w:rPr>
        <w:rFonts w:cs="Times New Roman"/>
        <w:bCs/>
        <w:iCs/>
        <w:sz w:val="16"/>
        <w:szCs w:val="16"/>
      </w:rPr>
    </w:pPr>
    <w:r w:rsidRPr="008F7DDB">
      <w:rPr>
        <w:rFonts w:cs="Times New Roman"/>
        <w:sz w:val="16"/>
        <w:szCs w:val="16"/>
      </w:rPr>
      <w:t>DDW-Eng-</w:t>
    </w:r>
    <w:r>
      <w:rPr>
        <w:rFonts w:cs="Times New Roman"/>
        <w:sz w:val="16"/>
        <w:szCs w:val="16"/>
      </w:rPr>
      <w:t>00</w:t>
    </w:r>
    <w:r w:rsidR="002E2F51">
      <w:rPr>
        <w:rFonts w:cs="Times New Roman"/>
        <w:sz w:val="16"/>
        <w:szCs w:val="16"/>
      </w:rPr>
      <w:t>25</w:t>
    </w:r>
    <w:r w:rsidRPr="008F7DDB">
      <w:rPr>
        <w:rFonts w:cs="Times New Roman"/>
        <w:sz w:val="16"/>
        <w:szCs w:val="16"/>
      </w:rPr>
      <w:tab/>
      <w:t xml:space="preserve">Page </w:t>
    </w:r>
    <w:r w:rsidRPr="008F7DDB">
      <w:rPr>
        <w:rFonts w:cs="Times New Roman"/>
        <w:bCs/>
        <w:iCs/>
        <w:sz w:val="16"/>
        <w:szCs w:val="16"/>
      </w:rPr>
      <w:fldChar w:fldCharType="begin"/>
    </w:r>
    <w:r w:rsidRPr="008F7DDB">
      <w:rPr>
        <w:rFonts w:cs="Times New Roman"/>
        <w:sz w:val="16"/>
        <w:szCs w:val="16"/>
      </w:rPr>
      <w:instrText xml:space="preserve"> PAGE  \* Arabic  \* MERGEFORMAT </w:instrText>
    </w:r>
    <w:r w:rsidRPr="008F7DDB">
      <w:rPr>
        <w:rFonts w:cs="Times New Roman"/>
        <w:bCs/>
        <w:iCs/>
        <w:sz w:val="16"/>
        <w:szCs w:val="16"/>
      </w:rPr>
      <w:fldChar w:fldCharType="separate"/>
    </w:r>
    <w:r w:rsidR="008F0B15" w:rsidRPr="008F0B15">
      <w:rPr>
        <w:rFonts w:cs="Times New Roman"/>
        <w:bCs/>
        <w:iCs/>
        <w:noProof/>
        <w:sz w:val="16"/>
        <w:szCs w:val="16"/>
      </w:rPr>
      <w:t>1</w:t>
    </w:r>
    <w:r w:rsidRPr="008F7DDB">
      <w:rPr>
        <w:rFonts w:cs="Times New Roman"/>
        <w:bCs/>
        <w:iCs/>
        <w:sz w:val="16"/>
        <w:szCs w:val="16"/>
      </w:rPr>
      <w:fldChar w:fldCharType="end"/>
    </w:r>
    <w:r w:rsidRPr="008F7DDB">
      <w:rPr>
        <w:rFonts w:cs="Times New Roman"/>
        <w:sz w:val="16"/>
        <w:szCs w:val="16"/>
      </w:rPr>
      <w:t xml:space="preserve"> of </w:t>
    </w:r>
    <w:r w:rsidRPr="008F7DDB">
      <w:rPr>
        <w:rFonts w:cs="Times New Roman"/>
        <w:bCs/>
        <w:iCs/>
        <w:sz w:val="16"/>
        <w:szCs w:val="16"/>
      </w:rPr>
      <w:fldChar w:fldCharType="begin"/>
    </w:r>
    <w:r w:rsidRPr="008F7DDB">
      <w:rPr>
        <w:rFonts w:cs="Times New Roman"/>
        <w:sz w:val="16"/>
        <w:szCs w:val="16"/>
      </w:rPr>
      <w:instrText xml:space="preserve"> NUMPAGES  \* Arabic  \* MERGEFORMAT </w:instrText>
    </w:r>
    <w:r w:rsidRPr="008F7DDB">
      <w:rPr>
        <w:rFonts w:cs="Times New Roman"/>
        <w:bCs/>
        <w:iCs/>
        <w:sz w:val="16"/>
        <w:szCs w:val="16"/>
      </w:rPr>
      <w:fldChar w:fldCharType="separate"/>
    </w:r>
    <w:r w:rsidR="008F0B15" w:rsidRPr="008F0B15">
      <w:rPr>
        <w:rFonts w:cs="Times New Roman"/>
        <w:bCs/>
        <w:iCs/>
        <w:noProof/>
        <w:sz w:val="16"/>
        <w:szCs w:val="16"/>
      </w:rPr>
      <w:t>3</w:t>
    </w:r>
    <w:r w:rsidRPr="008F7DDB">
      <w:rPr>
        <w:rFonts w:cs="Times New Roman"/>
        <w:bCs/>
        <w:iCs/>
        <w:sz w:val="16"/>
        <w:szCs w:val="16"/>
      </w:rPr>
      <w:fldChar w:fldCharType="end"/>
    </w:r>
    <w:r w:rsidRPr="008F7DDB">
      <w:rPr>
        <w:rFonts w:cs="Times New Roman"/>
        <w:b/>
        <w:sz w:val="16"/>
        <w:szCs w:val="16"/>
      </w:rPr>
      <w:tab/>
    </w:r>
    <w:r>
      <w:rPr>
        <w:rFonts w:cs="Times New Roman"/>
        <w:sz w:val="16"/>
        <w:szCs w:val="16"/>
      </w:rPr>
      <w:t>6</w:t>
    </w:r>
    <w:r w:rsidRPr="008F7DDB">
      <w:rPr>
        <w:rFonts w:cs="Times New Roman"/>
        <w:sz w:val="16"/>
        <w:szCs w:val="16"/>
      </w:rPr>
      <w:t>/</w:t>
    </w:r>
    <w:r w:rsidR="00D83AA6">
      <w:rPr>
        <w:rFonts w:cs="Times New Roman"/>
        <w:sz w:val="16"/>
        <w:szCs w:val="16"/>
      </w:rPr>
      <w:t>23</w:t>
    </w:r>
    <w:r w:rsidRPr="008F7DDB">
      <w:rPr>
        <w:rFonts w:cs="Times New Roman"/>
        <w:sz w:val="16"/>
        <w:szCs w:val="16"/>
      </w:rPr>
      <w:t>/2015</w:t>
    </w:r>
  </w:p>
  <w:p w:rsidR="008F7DDB" w:rsidRDefault="008F7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B" w:rsidRDefault="008F7DDB" w:rsidP="008F7DDB">
      <w:r>
        <w:separator/>
      </w:r>
    </w:p>
  </w:footnote>
  <w:footnote w:type="continuationSeparator" w:id="0">
    <w:p w:rsidR="008F7DDB" w:rsidRDefault="008F7DDB" w:rsidP="008F7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4C6"/>
    <w:multiLevelType w:val="hybridMultilevel"/>
    <w:tmpl w:val="C16CEB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4B80"/>
    <w:multiLevelType w:val="hybridMultilevel"/>
    <w:tmpl w:val="EB0CD782"/>
    <w:lvl w:ilvl="0" w:tplc="72E8D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B266F"/>
    <w:multiLevelType w:val="hybridMultilevel"/>
    <w:tmpl w:val="29C6F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A2DFC"/>
    <w:multiLevelType w:val="hybridMultilevel"/>
    <w:tmpl w:val="9F6447C6"/>
    <w:lvl w:ilvl="0" w:tplc="3A12407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81882"/>
    <w:multiLevelType w:val="hybridMultilevel"/>
    <w:tmpl w:val="4BB0085E"/>
    <w:lvl w:ilvl="0" w:tplc="34BC914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E67BA"/>
    <w:multiLevelType w:val="hybridMultilevel"/>
    <w:tmpl w:val="5748CA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2A43"/>
    <w:multiLevelType w:val="hybridMultilevel"/>
    <w:tmpl w:val="0B9CB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F7050"/>
    <w:multiLevelType w:val="hybridMultilevel"/>
    <w:tmpl w:val="2042D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24419"/>
    <w:multiLevelType w:val="hybridMultilevel"/>
    <w:tmpl w:val="61686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5B543F"/>
    <w:multiLevelType w:val="multilevel"/>
    <w:tmpl w:val="38B02FD6"/>
    <w:lvl w:ilvl="0">
      <w:start w:val="1"/>
      <w:numFmt w:val="upperLetter"/>
      <w:pStyle w:val="Styl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44"/>
        </w:tabs>
        <w:ind w:left="1944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82"/>
    <w:rsid w:val="00013A94"/>
    <w:rsid w:val="00056318"/>
    <w:rsid w:val="00067ABB"/>
    <w:rsid w:val="000B073B"/>
    <w:rsid w:val="000D3961"/>
    <w:rsid w:val="000E38F7"/>
    <w:rsid w:val="001150E7"/>
    <w:rsid w:val="001B64B8"/>
    <w:rsid w:val="001B6509"/>
    <w:rsid w:val="001C08A7"/>
    <w:rsid w:val="002504DF"/>
    <w:rsid w:val="00250E38"/>
    <w:rsid w:val="00254057"/>
    <w:rsid w:val="002E2F51"/>
    <w:rsid w:val="003112F4"/>
    <w:rsid w:val="00335418"/>
    <w:rsid w:val="00336BF1"/>
    <w:rsid w:val="0034587D"/>
    <w:rsid w:val="003F7E9F"/>
    <w:rsid w:val="0044055A"/>
    <w:rsid w:val="0045086E"/>
    <w:rsid w:val="0047416A"/>
    <w:rsid w:val="004853B5"/>
    <w:rsid w:val="005116C8"/>
    <w:rsid w:val="00523518"/>
    <w:rsid w:val="0052730F"/>
    <w:rsid w:val="00564F59"/>
    <w:rsid w:val="00575C4F"/>
    <w:rsid w:val="00620E98"/>
    <w:rsid w:val="00647060"/>
    <w:rsid w:val="006804CF"/>
    <w:rsid w:val="00682488"/>
    <w:rsid w:val="0069114F"/>
    <w:rsid w:val="006B7B5F"/>
    <w:rsid w:val="006C6376"/>
    <w:rsid w:val="006D230C"/>
    <w:rsid w:val="006F2673"/>
    <w:rsid w:val="0077098A"/>
    <w:rsid w:val="00777903"/>
    <w:rsid w:val="007F2782"/>
    <w:rsid w:val="007F297A"/>
    <w:rsid w:val="0081274B"/>
    <w:rsid w:val="00840728"/>
    <w:rsid w:val="008B4589"/>
    <w:rsid w:val="008D2D1B"/>
    <w:rsid w:val="008D7972"/>
    <w:rsid w:val="008F0B15"/>
    <w:rsid w:val="008F6C2A"/>
    <w:rsid w:val="008F7DDB"/>
    <w:rsid w:val="009022BC"/>
    <w:rsid w:val="009107EB"/>
    <w:rsid w:val="009A7650"/>
    <w:rsid w:val="009B12FD"/>
    <w:rsid w:val="009D5F7A"/>
    <w:rsid w:val="009E2BE7"/>
    <w:rsid w:val="00A24F20"/>
    <w:rsid w:val="00A901FD"/>
    <w:rsid w:val="00B0458F"/>
    <w:rsid w:val="00B22C6B"/>
    <w:rsid w:val="00B95821"/>
    <w:rsid w:val="00C40097"/>
    <w:rsid w:val="00C93A2E"/>
    <w:rsid w:val="00D42253"/>
    <w:rsid w:val="00D83AA6"/>
    <w:rsid w:val="00DF7504"/>
    <w:rsid w:val="00E012D6"/>
    <w:rsid w:val="00E43B65"/>
    <w:rsid w:val="00E508DA"/>
    <w:rsid w:val="00E6244B"/>
    <w:rsid w:val="00E851B1"/>
    <w:rsid w:val="00F17290"/>
    <w:rsid w:val="00F53946"/>
    <w:rsid w:val="00F97169"/>
    <w:rsid w:val="00FB0C22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4587D"/>
  </w:style>
  <w:style w:type="paragraph" w:styleId="Heading1">
    <w:name w:val="heading 1"/>
    <w:basedOn w:val="Normal"/>
    <w:next w:val="Normal"/>
    <w:link w:val="Heading1Char"/>
    <w:qFormat/>
    <w:rsid w:val="006804CF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04CF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7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7B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7B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7B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7B5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7B5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7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04C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804C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7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B7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B7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B7B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B7B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7B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B7B5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804CF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804CF"/>
    <w:rPr>
      <w:rFonts w:ascii="Cambria" w:eastAsiaTheme="majorEastAs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B7B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6B7B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heading 2"/>
    <w:qFormat/>
    <w:rsid w:val="006804CF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qFormat/>
    <w:rsid w:val="006B7B5F"/>
    <w:rPr>
      <w:i/>
      <w:iCs/>
    </w:rPr>
  </w:style>
  <w:style w:type="paragraph" w:styleId="NoSpacing">
    <w:name w:val="No Spacing"/>
    <w:link w:val="NoSpacingChar"/>
    <w:uiPriority w:val="1"/>
    <w:qFormat/>
    <w:rsid w:val="006804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804CF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B7B5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B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7B5F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B5F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B7B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7B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7B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7B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7B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B5F"/>
    <w:pPr>
      <w:outlineLvl w:val="9"/>
    </w:pPr>
    <w:rPr>
      <w:rFonts w:asciiTheme="majorHAnsi" w:hAnsiTheme="majorHAnsi"/>
    </w:rPr>
  </w:style>
  <w:style w:type="paragraph" w:customStyle="1" w:styleId="Style1">
    <w:name w:val="Style1"/>
    <w:basedOn w:val="Normal"/>
    <w:next w:val="Heading2"/>
    <w:link w:val="Style1Char"/>
    <w:qFormat/>
    <w:rsid w:val="006804CF"/>
    <w:pPr>
      <w:numPr>
        <w:numId w:val="1"/>
      </w:numPr>
    </w:pPr>
  </w:style>
  <w:style w:type="character" w:customStyle="1" w:styleId="Style1Char">
    <w:name w:val="Style1 Char"/>
    <w:link w:val="Style1"/>
    <w:rsid w:val="006804C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DB"/>
  </w:style>
  <w:style w:type="paragraph" w:styleId="Footer">
    <w:name w:val="footer"/>
    <w:basedOn w:val="Normal"/>
    <w:link w:val="FooterChar"/>
    <w:uiPriority w:val="99"/>
    <w:unhideWhenUsed/>
    <w:rsid w:val="008F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34587D"/>
  </w:style>
  <w:style w:type="paragraph" w:styleId="Heading1">
    <w:name w:val="heading 1"/>
    <w:basedOn w:val="Normal"/>
    <w:next w:val="Normal"/>
    <w:link w:val="Heading1Char"/>
    <w:qFormat/>
    <w:rsid w:val="006804CF"/>
    <w:pPr>
      <w:keepNext/>
      <w:spacing w:before="240" w:after="60"/>
      <w:outlineLvl w:val="0"/>
    </w:pPr>
    <w:rPr>
      <w:rFonts w:ascii="Cambria" w:eastAsiaTheme="majorEastAs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804CF"/>
    <w:pPr>
      <w:keepNext/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B7B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B7B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B7B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B7B5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B7B5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B7B5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B7B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804C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6804C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6B7B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6B7B5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6B7B5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6B7B5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6B7B5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B7B5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B7B5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6804CF"/>
    <w:pPr>
      <w:pBdr>
        <w:bottom w:val="single" w:sz="8" w:space="4" w:color="4F81BD"/>
      </w:pBdr>
      <w:spacing w:after="300"/>
      <w:contextualSpacing/>
    </w:pPr>
    <w:rPr>
      <w:rFonts w:ascii="Cambria" w:eastAsiaTheme="majorEastAs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804CF"/>
    <w:rPr>
      <w:rFonts w:ascii="Cambria" w:eastAsiaTheme="majorEastAsia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6B7B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rsid w:val="006B7B5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aliases w:val="heading 2"/>
    <w:qFormat/>
    <w:rsid w:val="006804CF"/>
    <w:rPr>
      <w:rFonts w:ascii="Times New Roman" w:hAnsi="Times New Roman"/>
      <w:b/>
      <w:bCs/>
      <w:sz w:val="24"/>
    </w:rPr>
  </w:style>
  <w:style w:type="character" w:styleId="Emphasis">
    <w:name w:val="Emphasis"/>
    <w:basedOn w:val="DefaultParagraphFont"/>
    <w:qFormat/>
    <w:rsid w:val="006B7B5F"/>
    <w:rPr>
      <w:i/>
      <w:iCs/>
    </w:rPr>
  </w:style>
  <w:style w:type="paragraph" w:styleId="NoSpacing">
    <w:name w:val="No Spacing"/>
    <w:link w:val="NoSpacingChar"/>
    <w:uiPriority w:val="1"/>
    <w:qFormat/>
    <w:rsid w:val="006804C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804CF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6B7B5F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B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7B5F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7B5F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B7B5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7B5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B7B5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7B5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7B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7B5F"/>
    <w:pPr>
      <w:outlineLvl w:val="9"/>
    </w:pPr>
    <w:rPr>
      <w:rFonts w:asciiTheme="majorHAnsi" w:hAnsiTheme="majorHAnsi"/>
    </w:rPr>
  </w:style>
  <w:style w:type="paragraph" w:customStyle="1" w:styleId="Style1">
    <w:name w:val="Style1"/>
    <w:basedOn w:val="Normal"/>
    <w:next w:val="Heading2"/>
    <w:link w:val="Style1Char"/>
    <w:qFormat/>
    <w:rsid w:val="006804CF"/>
    <w:pPr>
      <w:numPr>
        <w:numId w:val="1"/>
      </w:numPr>
    </w:pPr>
  </w:style>
  <w:style w:type="character" w:customStyle="1" w:styleId="Style1Char">
    <w:name w:val="Style1 Char"/>
    <w:link w:val="Style1"/>
    <w:rsid w:val="006804C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7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DDB"/>
  </w:style>
  <w:style w:type="paragraph" w:styleId="Footer">
    <w:name w:val="footer"/>
    <w:basedOn w:val="Normal"/>
    <w:link w:val="FooterChar"/>
    <w:uiPriority w:val="99"/>
    <w:unhideWhenUsed/>
    <w:rsid w:val="008F7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CC99-499E-4EA3-8037-9F228E3D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Clark</dc:creator>
  <cp:lastModifiedBy>Lisa Nelson</cp:lastModifiedBy>
  <cp:revision>2</cp:revision>
  <cp:lastPrinted>2015-06-22T18:29:00Z</cp:lastPrinted>
  <dcterms:created xsi:type="dcterms:W3CDTF">2018-03-29T23:17:00Z</dcterms:created>
  <dcterms:modified xsi:type="dcterms:W3CDTF">2018-03-29T23:17:00Z</dcterms:modified>
</cp:coreProperties>
</file>