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6F2" w:rsidRDefault="003B56F2" w:rsidP="003B56F2">
      <w:pPr>
        <w:pStyle w:val="Heading2"/>
      </w:pPr>
      <w:bookmarkStart w:id="0" w:name="_Toc530559504"/>
      <w:r>
        <w:t>DDW FIELD SAFETY REPORT</w:t>
      </w:r>
      <w:bookmarkEnd w:id="0"/>
    </w:p>
    <w:p w:rsidR="003B56F2" w:rsidRDefault="007C16E2" w:rsidP="003B56F2">
      <w:pPr>
        <w:rPr>
          <w:sz w:val="18"/>
        </w:rPr>
      </w:pPr>
      <w:r>
        <w:rPr>
          <w:sz w:val="18"/>
        </w:rPr>
        <w:t>This Field S</w:t>
      </w:r>
      <w:r w:rsidR="003B56F2" w:rsidRPr="0076519C">
        <w:rPr>
          <w:sz w:val="18"/>
        </w:rPr>
        <w:t xml:space="preserve">afety </w:t>
      </w:r>
      <w:r w:rsidR="003B56F2">
        <w:rPr>
          <w:sz w:val="18"/>
        </w:rPr>
        <w:t xml:space="preserve">Report </w:t>
      </w:r>
      <w:r w:rsidR="003B56F2" w:rsidRPr="0076519C">
        <w:rPr>
          <w:sz w:val="18"/>
        </w:rPr>
        <w:t>serves as a tool to d</w:t>
      </w:r>
      <w:r w:rsidR="003B56F2">
        <w:rPr>
          <w:sz w:val="18"/>
        </w:rPr>
        <w:t xml:space="preserve">ocument your hazard assessment and </w:t>
      </w:r>
      <w:r w:rsidR="003B56F2" w:rsidRPr="0076519C">
        <w:rPr>
          <w:sz w:val="18"/>
        </w:rPr>
        <w:t xml:space="preserve">communication plan to address </w:t>
      </w:r>
      <w:r w:rsidR="003B56F2">
        <w:rPr>
          <w:sz w:val="18"/>
        </w:rPr>
        <w:t xml:space="preserve">the review of required information that was beyond DDW’s ability to inspect individually.  This form details the plan and measures taken by staff the PWS to </w:t>
      </w:r>
      <w:r w:rsidR="003B56F2" w:rsidRPr="0076519C">
        <w:rPr>
          <w:sz w:val="18"/>
        </w:rPr>
        <w:t>mitigate those hazards</w:t>
      </w:r>
      <w:r w:rsidR="003B56F2">
        <w:rPr>
          <w:sz w:val="18"/>
        </w:rPr>
        <w:t xml:space="preserve"> but still complete a review of the system’s facility</w:t>
      </w:r>
      <w:r w:rsidR="003B56F2" w:rsidRPr="0076519C">
        <w:rPr>
          <w:sz w:val="18"/>
        </w:rPr>
        <w:t xml:space="preserve">. </w:t>
      </w:r>
      <w:r w:rsidR="003B56F2" w:rsidRPr="000E7BFC">
        <w:rPr>
          <w:sz w:val="18"/>
        </w:rPr>
        <w:t xml:space="preserve">Use this form to warn other staff of unsafe workplace conditions </w:t>
      </w:r>
      <w:r>
        <w:rPr>
          <w:sz w:val="18"/>
        </w:rPr>
        <w:t xml:space="preserve">or site conditions </w:t>
      </w:r>
      <w:r w:rsidR="003B56F2" w:rsidRPr="000E7BFC">
        <w:rPr>
          <w:sz w:val="18"/>
        </w:rPr>
        <w:t>found while conducting a field inspection</w:t>
      </w:r>
      <w:r w:rsidR="003B56F2">
        <w:rPr>
          <w:sz w:val="18"/>
        </w:rPr>
        <w:t xml:space="preserve">. </w:t>
      </w:r>
      <w:r w:rsidR="003B56F2" w:rsidRPr="0076519C">
        <w:rPr>
          <w:sz w:val="18"/>
        </w:rPr>
        <w:t>Completed forms should be saved in the respec</w:t>
      </w:r>
      <w:r w:rsidR="00B54B13">
        <w:rPr>
          <w:sz w:val="18"/>
        </w:rPr>
        <w:t xml:space="preserve">tive water systems Site Visits </w:t>
      </w:r>
      <w:r w:rsidR="003B56F2" w:rsidRPr="0076519C">
        <w:rPr>
          <w:sz w:val="18"/>
        </w:rPr>
        <w:t xml:space="preserve">folder in </w:t>
      </w:r>
      <w:proofErr w:type="spellStart"/>
      <w:r w:rsidR="003B56F2" w:rsidRPr="0076519C">
        <w:rPr>
          <w:sz w:val="18"/>
        </w:rPr>
        <w:t>edocs</w:t>
      </w:r>
      <w:proofErr w:type="spellEnd"/>
      <w:r w:rsidR="003B56F2" w:rsidRPr="0076519C">
        <w:rPr>
          <w:sz w:val="18"/>
        </w:rPr>
        <w:t>.</w:t>
      </w:r>
    </w:p>
    <w:p w:rsidR="003B56F2" w:rsidRPr="0076519C" w:rsidRDefault="003B56F2" w:rsidP="003B56F2">
      <w:pPr>
        <w:rPr>
          <w:sz w:val="18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4095"/>
        <w:gridCol w:w="4095"/>
      </w:tblGrid>
      <w:tr w:rsidR="003B56F2" w:rsidRPr="00206148" w:rsidTr="0010047E">
        <w:tc>
          <w:tcPr>
            <w:tcW w:w="10620" w:type="dxa"/>
            <w:gridSpan w:val="3"/>
            <w:shd w:val="clear" w:color="auto" w:fill="9BBB59" w:themeFill="accent3"/>
          </w:tcPr>
          <w:p w:rsidR="003B56F2" w:rsidRPr="00206148" w:rsidRDefault="003B56F2" w:rsidP="0010047E">
            <w:pPr>
              <w:spacing w:before="60" w:after="60"/>
              <w:rPr>
                <w:b/>
                <w:sz w:val="18"/>
                <w:highlight w:val="lightGray"/>
              </w:rPr>
            </w:pPr>
            <w:r w:rsidRPr="00206148">
              <w:rPr>
                <w:b/>
                <w:sz w:val="18"/>
              </w:rPr>
              <w:t>Site Information</w:t>
            </w:r>
          </w:p>
        </w:tc>
      </w:tr>
      <w:tr w:rsidR="007C16E2" w:rsidRPr="00206148" w:rsidTr="0010047E">
        <w:tc>
          <w:tcPr>
            <w:tcW w:w="2430" w:type="dxa"/>
          </w:tcPr>
          <w:p w:rsidR="007C16E2" w:rsidRPr="00206148" w:rsidRDefault="007C16E2" w:rsidP="00C53A6D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Public Water System (PWS) Facility ID (Matching SDWIS ID) if applicable</w:t>
            </w:r>
          </w:p>
        </w:tc>
        <w:tc>
          <w:tcPr>
            <w:tcW w:w="8190" w:type="dxa"/>
            <w:gridSpan w:val="2"/>
          </w:tcPr>
          <w:p w:rsidR="007C16E2" w:rsidRPr="00206148" w:rsidRDefault="007C16E2" w:rsidP="00C53A6D">
            <w:pPr>
              <w:spacing w:before="60" w:after="60"/>
              <w:rPr>
                <w:i/>
                <w:sz w:val="18"/>
                <w:highlight w:val="lightGray"/>
              </w:rPr>
            </w:pPr>
            <w:r>
              <w:rPr>
                <w:i/>
                <w:sz w:val="18"/>
                <w:highlight w:val="lightGray"/>
              </w:rPr>
              <w:t>Detail the SDWIS Facilit</w:t>
            </w:r>
            <w:r w:rsidR="009C013F">
              <w:rPr>
                <w:i/>
                <w:sz w:val="18"/>
                <w:highlight w:val="lightGray"/>
              </w:rPr>
              <w:t>y ID associated with any No Go Scenario</w:t>
            </w:r>
            <w:r>
              <w:rPr>
                <w:i/>
                <w:sz w:val="18"/>
                <w:highlight w:val="lightGray"/>
              </w:rPr>
              <w:t xml:space="preserve"> experience during the review of a system</w:t>
            </w:r>
            <w:r w:rsidRPr="00206148">
              <w:rPr>
                <w:i/>
                <w:sz w:val="18"/>
                <w:highlight w:val="lightGray"/>
              </w:rPr>
              <w:t xml:space="preserve">. </w:t>
            </w:r>
          </w:p>
          <w:p w:rsidR="007C16E2" w:rsidRPr="00206148" w:rsidRDefault="007C16E2" w:rsidP="00C53A6D">
            <w:pPr>
              <w:spacing w:before="60" w:after="60"/>
              <w:rPr>
                <w:i/>
                <w:sz w:val="18"/>
                <w:highlight w:val="lightGray"/>
              </w:rPr>
            </w:pPr>
          </w:p>
          <w:p w:rsidR="007C16E2" w:rsidRPr="00206148" w:rsidRDefault="007C16E2" w:rsidP="00C53A6D">
            <w:pPr>
              <w:spacing w:before="60" w:after="60"/>
              <w:rPr>
                <w:sz w:val="18"/>
                <w:highlight w:val="lightGray"/>
              </w:rPr>
            </w:pPr>
          </w:p>
        </w:tc>
      </w:tr>
      <w:tr w:rsidR="003B56F2" w:rsidRPr="00206148" w:rsidTr="0010047E">
        <w:tc>
          <w:tcPr>
            <w:tcW w:w="2430" w:type="dxa"/>
          </w:tcPr>
          <w:p w:rsidR="003B56F2" w:rsidRPr="00206148" w:rsidRDefault="003B56F2" w:rsidP="0010047E">
            <w:pPr>
              <w:pStyle w:val="Header"/>
              <w:spacing w:before="60" w:after="60"/>
              <w:rPr>
                <w:b/>
                <w:sz w:val="18"/>
              </w:rPr>
            </w:pPr>
            <w:r w:rsidRPr="00206148">
              <w:rPr>
                <w:b/>
                <w:sz w:val="18"/>
              </w:rPr>
              <w:t>DDW Inspection Staff:</w:t>
            </w:r>
          </w:p>
        </w:tc>
        <w:tc>
          <w:tcPr>
            <w:tcW w:w="8190" w:type="dxa"/>
            <w:gridSpan w:val="2"/>
          </w:tcPr>
          <w:p w:rsidR="003B56F2" w:rsidRPr="00206148" w:rsidRDefault="003B56F2" w:rsidP="0010047E">
            <w:pPr>
              <w:pStyle w:val="Header"/>
              <w:spacing w:before="60" w:after="60"/>
              <w:rPr>
                <w:i/>
                <w:sz w:val="18"/>
                <w:highlight w:val="lightGray"/>
              </w:rPr>
            </w:pPr>
            <w:r w:rsidRPr="00206148">
              <w:rPr>
                <w:i/>
                <w:sz w:val="18"/>
                <w:highlight w:val="lightGray"/>
              </w:rPr>
              <w:t>Names of DDW completing inspection</w:t>
            </w:r>
          </w:p>
          <w:p w:rsidR="003B56F2" w:rsidRPr="00206148" w:rsidRDefault="003B56F2" w:rsidP="0010047E">
            <w:pPr>
              <w:pStyle w:val="Header"/>
              <w:spacing w:before="60" w:after="60"/>
              <w:rPr>
                <w:i/>
                <w:sz w:val="18"/>
                <w:highlight w:val="lightGray"/>
              </w:rPr>
            </w:pPr>
          </w:p>
        </w:tc>
      </w:tr>
      <w:tr w:rsidR="003B56F2" w:rsidRPr="00206148" w:rsidTr="0010047E">
        <w:trPr>
          <w:trHeight w:val="782"/>
        </w:trPr>
        <w:tc>
          <w:tcPr>
            <w:tcW w:w="2430" w:type="dxa"/>
          </w:tcPr>
          <w:p w:rsidR="003B56F2" w:rsidRPr="00206148" w:rsidRDefault="003B56F2" w:rsidP="0010047E">
            <w:pPr>
              <w:pStyle w:val="Header"/>
              <w:spacing w:before="60" w:after="60"/>
              <w:rPr>
                <w:b/>
                <w:sz w:val="18"/>
              </w:rPr>
            </w:pPr>
            <w:r w:rsidRPr="00206148">
              <w:rPr>
                <w:b/>
                <w:sz w:val="18"/>
              </w:rPr>
              <w:t>District Engineer and/or County Health Department</w:t>
            </w:r>
          </w:p>
        </w:tc>
        <w:tc>
          <w:tcPr>
            <w:tcW w:w="8190" w:type="dxa"/>
            <w:gridSpan w:val="2"/>
          </w:tcPr>
          <w:p w:rsidR="003B56F2" w:rsidRPr="00206148" w:rsidRDefault="003B56F2" w:rsidP="0010047E">
            <w:pPr>
              <w:pStyle w:val="Header"/>
              <w:spacing w:before="60" w:after="60"/>
              <w:rPr>
                <w:i/>
                <w:sz w:val="18"/>
                <w:highlight w:val="lightGray"/>
              </w:rPr>
            </w:pPr>
            <w:r w:rsidRPr="00206148">
              <w:rPr>
                <w:i/>
                <w:sz w:val="18"/>
                <w:highlight w:val="lightGray"/>
              </w:rPr>
              <w:t>List contact information of District Engineer and County Health Department whenever applicable.</w:t>
            </w:r>
          </w:p>
        </w:tc>
      </w:tr>
      <w:tr w:rsidR="003B56F2" w:rsidRPr="00206148" w:rsidTr="0010047E">
        <w:tc>
          <w:tcPr>
            <w:tcW w:w="2430" w:type="dxa"/>
          </w:tcPr>
          <w:p w:rsidR="003B56F2" w:rsidRPr="00206148" w:rsidRDefault="003B56F2" w:rsidP="0010047E">
            <w:pPr>
              <w:pStyle w:val="Header"/>
              <w:spacing w:before="60" w:after="60"/>
              <w:rPr>
                <w:b/>
                <w:sz w:val="18"/>
              </w:rPr>
            </w:pPr>
            <w:r w:rsidRPr="00206148">
              <w:rPr>
                <w:b/>
                <w:sz w:val="18"/>
              </w:rPr>
              <w:t>Date(s) of Travel:</w:t>
            </w:r>
          </w:p>
        </w:tc>
        <w:tc>
          <w:tcPr>
            <w:tcW w:w="8190" w:type="dxa"/>
            <w:gridSpan w:val="2"/>
          </w:tcPr>
          <w:p w:rsidR="003B56F2" w:rsidRPr="00206148" w:rsidRDefault="003B56F2" w:rsidP="0010047E">
            <w:pPr>
              <w:pStyle w:val="Header"/>
              <w:spacing w:before="60" w:after="60"/>
              <w:rPr>
                <w:i/>
                <w:sz w:val="18"/>
                <w:highlight w:val="lightGray"/>
              </w:rPr>
            </w:pPr>
            <w:r w:rsidRPr="00206148">
              <w:rPr>
                <w:i/>
                <w:sz w:val="18"/>
                <w:highlight w:val="lightGray"/>
              </w:rPr>
              <w:t xml:space="preserve">Start date, duration, expected return to </w:t>
            </w:r>
            <w:r w:rsidR="00600738">
              <w:rPr>
                <w:i/>
                <w:sz w:val="18"/>
                <w:highlight w:val="lightGray"/>
              </w:rPr>
              <w:t>DDW</w:t>
            </w:r>
          </w:p>
          <w:p w:rsidR="003B56F2" w:rsidRPr="00206148" w:rsidRDefault="003B56F2" w:rsidP="0010047E">
            <w:pPr>
              <w:pStyle w:val="Header"/>
              <w:spacing w:before="60" w:after="60"/>
              <w:rPr>
                <w:i/>
                <w:sz w:val="18"/>
                <w:highlight w:val="lightGray"/>
              </w:rPr>
            </w:pPr>
          </w:p>
        </w:tc>
      </w:tr>
      <w:tr w:rsidR="003B56F2" w:rsidRPr="00206148" w:rsidTr="0010047E">
        <w:tc>
          <w:tcPr>
            <w:tcW w:w="2430" w:type="dxa"/>
          </w:tcPr>
          <w:p w:rsidR="003B56F2" w:rsidRPr="00206148" w:rsidRDefault="003B56F2" w:rsidP="0010047E">
            <w:pPr>
              <w:pStyle w:val="Header"/>
              <w:spacing w:before="60" w:after="60"/>
              <w:rPr>
                <w:b/>
                <w:sz w:val="18"/>
              </w:rPr>
            </w:pPr>
            <w:r w:rsidRPr="00206148">
              <w:rPr>
                <w:b/>
                <w:sz w:val="18"/>
              </w:rPr>
              <w:t>Purpose of Inspection:</w:t>
            </w:r>
          </w:p>
        </w:tc>
        <w:tc>
          <w:tcPr>
            <w:tcW w:w="8190" w:type="dxa"/>
            <w:gridSpan w:val="2"/>
          </w:tcPr>
          <w:p w:rsidR="003B56F2" w:rsidRPr="00206148" w:rsidRDefault="003B56F2" w:rsidP="0010047E">
            <w:pPr>
              <w:pStyle w:val="Header"/>
              <w:spacing w:before="60" w:after="60"/>
              <w:ind w:right="-558"/>
              <w:rPr>
                <w:i/>
                <w:sz w:val="18"/>
              </w:rPr>
            </w:pPr>
            <w:r w:rsidRPr="00206148">
              <w:rPr>
                <w:i/>
                <w:sz w:val="18"/>
                <w:highlight w:val="lightGray"/>
              </w:rPr>
              <w:t>Type, length, and purpose of</w:t>
            </w:r>
            <w:r w:rsidR="007C16E2">
              <w:rPr>
                <w:i/>
                <w:sz w:val="18"/>
                <w:highlight w:val="lightGray"/>
              </w:rPr>
              <w:t xml:space="preserve"> activity (e.g. Sanitary Survey, Construction Inspection, etc.</w:t>
            </w:r>
            <w:r w:rsidRPr="00206148">
              <w:rPr>
                <w:i/>
                <w:sz w:val="18"/>
                <w:highlight w:val="lightGray"/>
              </w:rPr>
              <w:t xml:space="preserve">) </w:t>
            </w:r>
          </w:p>
          <w:p w:rsidR="003B56F2" w:rsidRPr="00206148" w:rsidRDefault="003B56F2" w:rsidP="0010047E">
            <w:pPr>
              <w:pStyle w:val="Header"/>
              <w:spacing w:before="60" w:after="60"/>
              <w:ind w:right="-558"/>
              <w:rPr>
                <w:sz w:val="18"/>
              </w:rPr>
            </w:pPr>
          </w:p>
        </w:tc>
      </w:tr>
      <w:tr w:rsidR="003B56F2" w:rsidRPr="00206148" w:rsidTr="00F13630">
        <w:trPr>
          <w:cantSplit/>
          <w:trHeight w:val="2114"/>
        </w:trPr>
        <w:tc>
          <w:tcPr>
            <w:tcW w:w="2430" w:type="dxa"/>
          </w:tcPr>
          <w:p w:rsidR="00F13630" w:rsidRDefault="007C16E2" w:rsidP="007C16E2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Adverse Site Conditions </w:t>
            </w:r>
            <w:r>
              <w:rPr>
                <w:b/>
                <w:sz w:val="18"/>
              </w:rPr>
              <w:t>Encounter</w:t>
            </w:r>
            <w:r>
              <w:rPr>
                <w:b/>
                <w:sz w:val="18"/>
              </w:rPr>
              <w:t xml:space="preserve">ed </w:t>
            </w:r>
          </w:p>
          <w:p w:rsidR="003B56F2" w:rsidRPr="00206148" w:rsidRDefault="007C16E2" w:rsidP="007C16E2">
            <w:pPr>
              <w:spacing w:before="60" w:after="60"/>
              <w:rPr>
                <w:b/>
                <w:sz w:val="18"/>
                <w:highlight w:val="yellow"/>
              </w:rPr>
            </w:pPr>
            <w:r>
              <w:rPr>
                <w:b/>
                <w:sz w:val="18"/>
              </w:rPr>
              <w:t>(See</w:t>
            </w:r>
            <w:r w:rsidR="00F13630">
              <w:rPr>
                <w:b/>
                <w:sz w:val="18"/>
              </w:rPr>
              <w:t xml:space="preserve"> Safety Hazards page 12-35  of Field Safety manual)</w:t>
            </w:r>
          </w:p>
        </w:tc>
        <w:tc>
          <w:tcPr>
            <w:tcW w:w="8190" w:type="dxa"/>
            <w:gridSpan w:val="2"/>
          </w:tcPr>
          <w:p w:rsidR="00F13630" w:rsidRDefault="007C16E2" w:rsidP="0010047E">
            <w:pPr>
              <w:pStyle w:val="Header"/>
              <w:spacing w:before="60" w:after="60"/>
              <w:ind w:right="-558"/>
              <w:rPr>
                <w:i/>
                <w:sz w:val="18"/>
                <w:highlight w:val="lightGray"/>
              </w:rPr>
            </w:pPr>
            <w:r>
              <w:rPr>
                <w:i/>
                <w:sz w:val="18"/>
                <w:highlight w:val="lightGray"/>
              </w:rPr>
              <w:t>e.g. extensive hiking, steep terrain, difficult access, or any potential hazard</w:t>
            </w:r>
          </w:p>
          <w:p w:rsidR="003B56F2" w:rsidRPr="00206148" w:rsidRDefault="003B56F2" w:rsidP="0010047E">
            <w:pPr>
              <w:pStyle w:val="Header"/>
              <w:spacing w:before="60" w:after="60"/>
              <w:ind w:right="-558"/>
              <w:rPr>
                <w:i/>
                <w:sz w:val="18"/>
                <w:highlight w:val="lightGray"/>
              </w:rPr>
            </w:pPr>
            <w:r w:rsidRPr="00206148">
              <w:rPr>
                <w:i/>
                <w:sz w:val="18"/>
                <w:highlight w:val="lightGray"/>
              </w:rPr>
              <w:t xml:space="preserve"> Make special note if isolated or remote.</w:t>
            </w:r>
          </w:p>
          <w:p w:rsidR="003B56F2" w:rsidRPr="00206148" w:rsidRDefault="003B56F2" w:rsidP="0010047E">
            <w:pPr>
              <w:pStyle w:val="Header"/>
              <w:spacing w:before="60" w:after="60"/>
              <w:ind w:right="-558"/>
              <w:rPr>
                <w:b/>
                <w:sz w:val="18"/>
                <w:highlight w:val="lightGray"/>
              </w:rPr>
            </w:pPr>
          </w:p>
        </w:tc>
      </w:tr>
      <w:tr w:rsidR="003B56F2" w:rsidRPr="00206148" w:rsidTr="0010047E">
        <w:trPr>
          <w:cantSplit/>
        </w:trPr>
        <w:tc>
          <w:tcPr>
            <w:tcW w:w="2430" w:type="dxa"/>
            <w:vMerge w:val="restart"/>
          </w:tcPr>
          <w:p w:rsidR="003B56F2" w:rsidRPr="00206148" w:rsidRDefault="003B56F2" w:rsidP="0010047E">
            <w:pPr>
              <w:spacing w:before="60" w:after="60"/>
              <w:rPr>
                <w:b/>
                <w:sz w:val="18"/>
              </w:rPr>
            </w:pPr>
            <w:r w:rsidRPr="00206148">
              <w:rPr>
                <w:b/>
                <w:sz w:val="18"/>
              </w:rPr>
              <w:t xml:space="preserve">No Go </w:t>
            </w:r>
            <w:r w:rsidR="007C16E2">
              <w:rPr>
                <w:b/>
                <w:sz w:val="18"/>
              </w:rPr>
              <w:t>Scenario</w:t>
            </w:r>
          </w:p>
          <w:p w:rsidR="003B56F2" w:rsidRPr="00206148" w:rsidRDefault="003B56F2" w:rsidP="0031263F">
            <w:pPr>
              <w:spacing w:before="60" w:after="60"/>
              <w:rPr>
                <w:b/>
                <w:sz w:val="18"/>
              </w:rPr>
            </w:pPr>
            <w:r w:rsidRPr="00206148">
              <w:rPr>
                <w:b/>
                <w:sz w:val="18"/>
              </w:rPr>
              <w:t xml:space="preserve">(See page 9 </w:t>
            </w:r>
            <w:r w:rsidR="0031263F">
              <w:rPr>
                <w:b/>
                <w:sz w:val="18"/>
              </w:rPr>
              <w:t xml:space="preserve">Field Safety </w:t>
            </w:r>
            <w:r w:rsidRPr="00206148">
              <w:rPr>
                <w:b/>
                <w:sz w:val="18"/>
              </w:rPr>
              <w:t>manual)</w:t>
            </w:r>
          </w:p>
        </w:tc>
        <w:tc>
          <w:tcPr>
            <w:tcW w:w="4095" w:type="dxa"/>
          </w:tcPr>
          <w:p w:rsidR="003B56F2" w:rsidRPr="00206148" w:rsidRDefault="003B56F2" w:rsidP="0010047E">
            <w:pPr>
              <w:spacing w:before="60" w:after="60"/>
              <w:rPr>
                <w:i/>
                <w:sz w:val="18"/>
                <w:highlight w:val="lightGray"/>
              </w:rPr>
            </w:pPr>
            <w:r>
              <w:rPr>
                <w:i/>
                <w:sz w:val="18"/>
                <w:highlight w:val="lightGray"/>
              </w:rPr>
              <w:t>Confined Space</w:t>
            </w:r>
          </w:p>
        </w:tc>
        <w:sdt>
          <w:sdtPr>
            <w:rPr>
              <w:i/>
              <w:sz w:val="18"/>
              <w:highlight w:val="lightGray"/>
            </w:rPr>
            <w:id w:val="-2003340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5" w:type="dxa"/>
              </w:tcPr>
              <w:p w:rsidR="003B56F2" w:rsidRPr="00206148" w:rsidRDefault="003B56F2" w:rsidP="0010047E">
                <w:pPr>
                  <w:spacing w:before="60" w:after="60"/>
                  <w:jc w:val="center"/>
                  <w:rPr>
                    <w:i/>
                    <w:sz w:val="18"/>
                    <w:highlight w:val="lightGray"/>
                  </w:rPr>
                </w:pPr>
                <w:r w:rsidRPr="00206148">
                  <w:rPr>
                    <w:rFonts w:ascii="MS Gothic" w:eastAsia="MS Gothic" w:hAnsi="MS Gothic" w:hint="eastAsia"/>
                    <w:i/>
                    <w:sz w:val="18"/>
                    <w:highlight w:val="lightGray"/>
                  </w:rPr>
                  <w:t>☐</w:t>
                </w:r>
              </w:p>
            </w:tc>
          </w:sdtContent>
        </w:sdt>
      </w:tr>
      <w:tr w:rsidR="003B56F2" w:rsidRPr="00206148" w:rsidTr="0010047E">
        <w:trPr>
          <w:cantSplit/>
        </w:trPr>
        <w:tc>
          <w:tcPr>
            <w:tcW w:w="2430" w:type="dxa"/>
            <w:vMerge/>
          </w:tcPr>
          <w:p w:rsidR="003B56F2" w:rsidRPr="00206148" w:rsidRDefault="003B56F2" w:rsidP="0010047E">
            <w:pPr>
              <w:spacing w:before="60" w:after="60"/>
              <w:rPr>
                <w:b/>
                <w:sz w:val="18"/>
              </w:rPr>
            </w:pPr>
          </w:p>
        </w:tc>
        <w:tc>
          <w:tcPr>
            <w:tcW w:w="4095" w:type="dxa"/>
          </w:tcPr>
          <w:p w:rsidR="003B56F2" w:rsidRPr="00206148" w:rsidRDefault="003B56F2" w:rsidP="0010047E">
            <w:pPr>
              <w:spacing w:before="60" w:after="60"/>
              <w:rPr>
                <w:i/>
                <w:sz w:val="18"/>
                <w:highlight w:val="lightGray"/>
              </w:rPr>
            </w:pPr>
            <w:r>
              <w:rPr>
                <w:i/>
                <w:sz w:val="18"/>
                <w:highlight w:val="lightGray"/>
              </w:rPr>
              <w:t>Unsafe Weather/Road Conditions</w:t>
            </w:r>
          </w:p>
        </w:tc>
        <w:sdt>
          <w:sdtPr>
            <w:rPr>
              <w:i/>
              <w:sz w:val="18"/>
              <w:highlight w:val="lightGray"/>
            </w:rPr>
            <w:id w:val="1482430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5" w:type="dxa"/>
              </w:tcPr>
              <w:p w:rsidR="003B56F2" w:rsidRPr="00206148" w:rsidRDefault="003B56F2" w:rsidP="0010047E">
                <w:pPr>
                  <w:spacing w:before="60" w:after="60"/>
                  <w:jc w:val="center"/>
                  <w:rPr>
                    <w:i/>
                    <w:sz w:val="18"/>
                    <w:highlight w:val="lightGray"/>
                  </w:rPr>
                </w:pPr>
                <w:r w:rsidRPr="00206148">
                  <w:rPr>
                    <w:rFonts w:ascii="MS Gothic" w:eastAsia="MS Gothic" w:hAnsi="MS Gothic" w:hint="eastAsia"/>
                    <w:i/>
                    <w:sz w:val="18"/>
                    <w:highlight w:val="lightGray"/>
                  </w:rPr>
                  <w:t>☐</w:t>
                </w:r>
              </w:p>
            </w:tc>
          </w:sdtContent>
        </w:sdt>
      </w:tr>
      <w:tr w:rsidR="003B56F2" w:rsidRPr="00206148" w:rsidTr="0010047E">
        <w:trPr>
          <w:cantSplit/>
        </w:trPr>
        <w:tc>
          <w:tcPr>
            <w:tcW w:w="2430" w:type="dxa"/>
            <w:vMerge/>
          </w:tcPr>
          <w:p w:rsidR="003B56F2" w:rsidRPr="00206148" w:rsidRDefault="003B56F2" w:rsidP="0010047E">
            <w:pPr>
              <w:spacing w:before="60" w:after="60"/>
              <w:rPr>
                <w:b/>
                <w:sz w:val="18"/>
              </w:rPr>
            </w:pPr>
          </w:p>
        </w:tc>
        <w:tc>
          <w:tcPr>
            <w:tcW w:w="4095" w:type="dxa"/>
          </w:tcPr>
          <w:p w:rsidR="003B56F2" w:rsidRPr="00206148" w:rsidRDefault="003B56F2" w:rsidP="00605493">
            <w:pPr>
              <w:spacing w:before="60" w:after="60"/>
              <w:rPr>
                <w:i/>
                <w:sz w:val="18"/>
                <w:highlight w:val="lightGray"/>
              </w:rPr>
            </w:pPr>
            <w:r>
              <w:rPr>
                <w:i/>
                <w:sz w:val="18"/>
                <w:highlight w:val="lightGray"/>
              </w:rPr>
              <w:t xml:space="preserve">Any situation where DDW staff does not feel safe or </w:t>
            </w:r>
            <w:r w:rsidR="00605493">
              <w:rPr>
                <w:i/>
                <w:sz w:val="18"/>
                <w:highlight w:val="lightGray"/>
              </w:rPr>
              <w:t>is unable</w:t>
            </w:r>
            <w:r>
              <w:rPr>
                <w:i/>
                <w:sz w:val="18"/>
                <w:highlight w:val="lightGray"/>
              </w:rPr>
              <w:t xml:space="preserve"> to  proceed</w:t>
            </w:r>
          </w:p>
        </w:tc>
        <w:sdt>
          <w:sdtPr>
            <w:rPr>
              <w:i/>
              <w:sz w:val="18"/>
              <w:highlight w:val="lightGray"/>
            </w:rPr>
            <w:id w:val="-1603175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5" w:type="dxa"/>
              </w:tcPr>
              <w:p w:rsidR="003B56F2" w:rsidRPr="00206148" w:rsidRDefault="003B56F2" w:rsidP="0010047E">
                <w:pPr>
                  <w:spacing w:before="60" w:after="60"/>
                  <w:jc w:val="center"/>
                  <w:rPr>
                    <w:i/>
                    <w:sz w:val="18"/>
                    <w:highlight w:val="lightGray"/>
                  </w:rPr>
                </w:pPr>
                <w:r w:rsidRPr="00206148">
                  <w:rPr>
                    <w:rFonts w:ascii="MS Gothic" w:eastAsia="MS Gothic" w:hAnsi="MS Gothic" w:hint="eastAsia"/>
                    <w:i/>
                    <w:sz w:val="18"/>
                    <w:highlight w:val="lightGray"/>
                  </w:rPr>
                  <w:t>☐</w:t>
                </w:r>
              </w:p>
            </w:tc>
          </w:sdtContent>
        </w:sdt>
      </w:tr>
      <w:tr w:rsidR="003B56F2" w:rsidRPr="00206148" w:rsidTr="00F13630">
        <w:trPr>
          <w:cantSplit/>
          <w:trHeight w:val="1691"/>
        </w:trPr>
        <w:tc>
          <w:tcPr>
            <w:tcW w:w="2430" w:type="dxa"/>
            <w:vMerge/>
          </w:tcPr>
          <w:p w:rsidR="003B56F2" w:rsidRPr="00206148" w:rsidRDefault="003B56F2" w:rsidP="0010047E">
            <w:pPr>
              <w:spacing w:before="60" w:after="60"/>
              <w:rPr>
                <w:b/>
                <w:sz w:val="18"/>
                <w:highlight w:val="yellow"/>
              </w:rPr>
            </w:pPr>
          </w:p>
        </w:tc>
        <w:tc>
          <w:tcPr>
            <w:tcW w:w="8190" w:type="dxa"/>
            <w:gridSpan w:val="2"/>
          </w:tcPr>
          <w:p w:rsidR="003B56F2" w:rsidRPr="002209CB" w:rsidRDefault="003B56F2" w:rsidP="0010047E">
            <w:pPr>
              <w:spacing w:before="60" w:after="60"/>
              <w:rPr>
                <w:sz w:val="18"/>
                <w:highlight w:val="lightGray"/>
              </w:rPr>
            </w:pPr>
            <w:r w:rsidRPr="002209CB">
              <w:rPr>
                <w:sz w:val="18"/>
                <w:highlight w:val="lightGray"/>
              </w:rPr>
              <w:t xml:space="preserve">Provide details of the specific No Go </w:t>
            </w:r>
            <w:r w:rsidR="0031263F">
              <w:rPr>
                <w:sz w:val="18"/>
                <w:highlight w:val="lightGray"/>
              </w:rPr>
              <w:t>Scenario</w:t>
            </w:r>
            <w:r w:rsidRPr="002209CB">
              <w:rPr>
                <w:sz w:val="18"/>
                <w:highlight w:val="lightGray"/>
              </w:rPr>
              <w:t xml:space="preserve"> encountered or reasoning behind </w:t>
            </w:r>
          </w:p>
          <w:p w:rsidR="003B56F2" w:rsidRPr="002209CB" w:rsidRDefault="003B56F2" w:rsidP="00F13630">
            <w:pPr>
              <w:spacing w:before="60" w:after="60"/>
              <w:rPr>
                <w:b/>
                <w:sz w:val="18"/>
              </w:rPr>
            </w:pPr>
            <w:r w:rsidRPr="002209CB">
              <w:rPr>
                <w:sz w:val="18"/>
                <w:highlight w:val="lightGray"/>
              </w:rPr>
              <w:t xml:space="preserve">DDW No Go </w:t>
            </w:r>
            <w:r w:rsidR="00F13630">
              <w:rPr>
                <w:sz w:val="18"/>
                <w:highlight w:val="lightGray"/>
              </w:rPr>
              <w:t>Scenario</w:t>
            </w:r>
            <w:r w:rsidRPr="002209CB">
              <w:rPr>
                <w:sz w:val="18"/>
                <w:highlight w:val="lightGray"/>
              </w:rPr>
              <w:t xml:space="preserve"> being satisfied. </w:t>
            </w:r>
            <w:bookmarkStart w:id="1" w:name="_GoBack"/>
            <w:bookmarkEnd w:id="1"/>
          </w:p>
        </w:tc>
      </w:tr>
      <w:tr w:rsidR="003B56F2" w:rsidRPr="00206148" w:rsidTr="003B56F2">
        <w:trPr>
          <w:cantSplit/>
          <w:trHeight w:val="1970"/>
        </w:trPr>
        <w:tc>
          <w:tcPr>
            <w:tcW w:w="2430" w:type="dxa"/>
          </w:tcPr>
          <w:p w:rsidR="003B56F2" w:rsidRPr="00206148" w:rsidRDefault="003B56F2" w:rsidP="0010047E">
            <w:pPr>
              <w:spacing w:before="60" w:after="60"/>
              <w:rPr>
                <w:b/>
                <w:sz w:val="18"/>
                <w:highlight w:val="yellow"/>
              </w:rPr>
            </w:pPr>
            <w:r w:rsidRPr="002209CB">
              <w:rPr>
                <w:b/>
                <w:sz w:val="18"/>
              </w:rPr>
              <w:t xml:space="preserve">Resolution </w:t>
            </w:r>
          </w:p>
        </w:tc>
        <w:tc>
          <w:tcPr>
            <w:tcW w:w="8190" w:type="dxa"/>
            <w:gridSpan w:val="2"/>
          </w:tcPr>
          <w:p w:rsidR="003B56F2" w:rsidRDefault="003B56F2" w:rsidP="0010047E">
            <w:pPr>
              <w:spacing w:before="60" w:after="60"/>
              <w:rPr>
                <w:i/>
                <w:sz w:val="18"/>
                <w:highlight w:val="lightGray"/>
              </w:rPr>
            </w:pPr>
            <w:r>
              <w:rPr>
                <w:i/>
                <w:sz w:val="18"/>
                <w:highlight w:val="lightGray"/>
              </w:rPr>
              <w:t xml:space="preserve">Provide details of the resolution and/or instructions given to the PWS to complete the review of the No Go </w:t>
            </w:r>
            <w:r w:rsidR="0031263F">
              <w:rPr>
                <w:i/>
                <w:sz w:val="18"/>
                <w:highlight w:val="lightGray"/>
              </w:rPr>
              <w:t>Scenario</w:t>
            </w:r>
          </w:p>
          <w:p w:rsidR="003B56F2" w:rsidRDefault="003B56F2" w:rsidP="0010047E">
            <w:pPr>
              <w:spacing w:before="60" w:after="60"/>
              <w:rPr>
                <w:i/>
                <w:sz w:val="18"/>
                <w:highlight w:val="lightGray"/>
              </w:rPr>
            </w:pPr>
          </w:p>
          <w:p w:rsidR="003B56F2" w:rsidRDefault="003B56F2" w:rsidP="0010047E">
            <w:pPr>
              <w:spacing w:before="60" w:after="60"/>
              <w:rPr>
                <w:i/>
                <w:sz w:val="18"/>
                <w:highlight w:val="lightGray"/>
              </w:rPr>
            </w:pPr>
          </w:p>
          <w:p w:rsidR="003B56F2" w:rsidRDefault="003B56F2" w:rsidP="0010047E">
            <w:pPr>
              <w:spacing w:before="60" w:after="60"/>
              <w:rPr>
                <w:i/>
                <w:sz w:val="18"/>
                <w:highlight w:val="lightGray"/>
              </w:rPr>
            </w:pPr>
          </w:p>
        </w:tc>
      </w:tr>
    </w:tbl>
    <w:p w:rsidR="00802AB8" w:rsidRDefault="00605493" w:rsidP="003B56F2"/>
    <w:sectPr w:rsidR="00802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F2"/>
    <w:rsid w:val="0031263F"/>
    <w:rsid w:val="003B56F2"/>
    <w:rsid w:val="00600738"/>
    <w:rsid w:val="00605493"/>
    <w:rsid w:val="006C60ED"/>
    <w:rsid w:val="007C16E2"/>
    <w:rsid w:val="009C013F"/>
    <w:rsid w:val="00B54B13"/>
    <w:rsid w:val="00C22C56"/>
    <w:rsid w:val="00F1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B56F2"/>
    <w:pPr>
      <w:keepNext/>
      <w:jc w:val="center"/>
      <w:outlineLvl w:val="1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B56F2"/>
    <w:rPr>
      <w:rFonts w:ascii="Verdana" w:eastAsia="Times New Roman" w:hAnsi="Verdana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3B56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56F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6F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B56F2"/>
    <w:pPr>
      <w:keepNext/>
      <w:jc w:val="center"/>
      <w:outlineLvl w:val="1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B56F2"/>
    <w:rPr>
      <w:rFonts w:ascii="Verdana" w:eastAsia="Times New Roman" w:hAnsi="Verdana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3B56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56F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6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Parker</dc:creator>
  <cp:lastModifiedBy>ddw user</cp:lastModifiedBy>
  <cp:revision>6</cp:revision>
  <dcterms:created xsi:type="dcterms:W3CDTF">2018-11-21T21:18:00Z</dcterms:created>
  <dcterms:modified xsi:type="dcterms:W3CDTF">2018-12-04T17:01:00Z</dcterms:modified>
</cp:coreProperties>
</file>